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t>中华人民共和国安全生产法</w:t>
      </w:r>
    </w:p>
    <w:bookmarkEnd w:id="0"/>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r>
        <w:rPr>
          <w:rFonts w:ascii="宋体" w:hAnsi="宋体" w:eastAsia="宋体" w:cs="宋体"/>
          <w:sz w:val="24"/>
          <w:szCs w:val="24"/>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第一条　为了加强安全生产工作，防止和减少生产安全事故，保障人民群众生命和财产安全，促进经济社会持续健康发展，制定本法。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第三条　安全生产工作坚持中国共产党的领导。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第六条　生产经营单位的从业人员有依法获得安全生产保障的权利，并应当依法履行安全生产方面的义务。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第七条　工会依法对安全生产工作进行监督。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各级人民政府应当加强安全生产基础设施建设和安全生产监管能力建设，所需经费列入本级预算。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第十一条　国务院有关部门应当按照保障安全生产的要求，依法及时制定有关的国家标准或者行业标准，并根据科技进步和经济发展适时修订。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生产经营单位必须执行依法制定的保障安全生产的国家标准或者行业标准。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第十三条　各级人民政府及其有关部门应当采取多种形式，加强对有关安全生产的法律、法规和安全生产知识的宣传，增强全社会的安全生产意识。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第十五条　依法设立的为安全生产提供技术、管理服务的机构，依照法律、行政法规和执业准则，接受生产经营单位的委托为其安全生产工作提供技术、管理服务。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生产经营单位委托前款规定的机构提供安全生产技术、管理服务的，保证安全生产的责任仍由本单位负责。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第十六条　国家实行生产安全事故责任追究制度，依照本法和有关法律、法规的规定，追究生产安全事故责任单位和责任人员的法律责任。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第十七条　县级以上各级人民政府应当组织负有安全生产监督管理职责的部门依法编制安全生产权力和责任清单，公开并接受社会监督。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第十八条　国家鼓励和支持安全生产科学技术研究和安全生产先进技术的推广应用，提高安全生产水平。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第十九条　国家对在改善安全生产条件、防止生产安全事故、参加抢险救护等方面取得显著成绩的单位和个人，给予奖励。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第二章　生产经营单位的安全生产保障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第二十条　生产经营单位应当具备本法和有关法律、行政法规和国家标准或者行业标准规定的安全生产条件；不具备安全生产条件的，不得从事生产经营活动。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第二十一条　 生产经营单位的主要负责人对本单位安全生产工作负有下列职责：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（一）建立健全并落实本单位全员安全生产责任制，加强安全生产标准化建设；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（二）组织制定并实施本单位安全生产规章制度和操作规程；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（三）组织制定并实施本单位安全生产教育和培训计划；</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（四）保证本单位安全生产投入的有效实施；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（五）组织建立并落实安全风险分级管控和隐患排查治理双重预防工作机制，督促、检查本单位的安全生产工作，及时消除生产安全事故隐患；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（六）组织制定并实施本单位的生产安全事故应急救援预案；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（七）及时、如实报告生产安全事故。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第二十二条　生产经营单位的全员安全生产责任制应当明确各岗位的责任人员、责任范围和考核标准等内容。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生产经营单位应当建立相应的机制，加强对全员安全生产责任制落实情况的监督考核，保证全员安全生产责任制的落实。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第二十五条　生产经营单位的安全生产管理机构以及安全生产管理人员履行下列职责：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（一）组织或者参与拟订本单位安全生产规章制度、操作规程和生产安全事故应急救援预案；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（二）组织或者参与本单位安全生产教育和培训，如实记录安全生产教育和培训情况；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（三）组织开展危险源辨识和评估，督促落实本单位重大危险源的安全管理措施；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（四）组织或者参与本单位应急救援演练；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（五）检查本单位的安全生产状况，及时排查生产安全事故隐患，提出改进安全生产管理的建议；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（六）制止和纠正违章指挥、强令冒险作业、违反操作规程的行为；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（七）督促落实本单位安全生产整改措施。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生产经营单位可以设置专职安全生产分管负责人，协助本单位主要负责人履行安全生产管理职责。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第二十六条　生产经营单位的安全生产管理机构以及安全生产管理人员应当恪尽职守，依法履行职责。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生产经营单位作出涉及安全生产的经营决策，应当听取安全生产管理机构以及安全生产管理人员的意见。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生产经营单位不得因安全生产管理人员依法履行职责而降低其工资、福利等待遇或者解除与其订立的劳动合同。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危险物品的生产、储存单位以及矿山、金属冶炼单位的安全生产管理人员的任免，应当告知主管的负有安全生产监督管理职责的部门。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第二十七条　生产经营单位的主要负责人和安全生产管理人员必须具备与本单位所从事的生产经营活动相应的安全生产知识和管理能力。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生产经营单位应当建立安全生产教育和培训档案，如实记录安全生产教育和培训的时间、内容、参加人员以及考核结果等情况。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第三十条　生产经营单位的特种作业人员必须按照国家有关规定经专门的安全作业培训，取得相应资格，方可上岗作业。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特种作业人员的范围由国务院应急管理部门会同国务院有关部门确定。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第三十二条　矿山、金属冶炼建设项目和用于生产、储存、装卸危险物品的建设项目，应当按照国家有关规定进行安全评价。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第三十三条　建设项目安全设施的设计人、设计单位应当对安全设施设计负责。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第三十五条　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第三十六条　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生产经营单位不得关闭、破坏直接关系生产安全的监控、报警、防护、救生设备、设施，或者篡改、隐瞒、销毁其相关数据、信息。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餐饮等行业的生产经营单位使用燃气的，应当安装可燃气体报警装置，并保障其正常使用。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生产经营单位不得使用应当淘汰的危及生产安全的工艺、设备。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第四十一条　生产经营单位应当建立安全风险分级管控制度，按照安全风险分级采取相应的管控措施。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第四十二条　生产、经营、储存、使用危险物品的车间、商店、仓库不得与员工宿舍在同一座建筑物内，并应当与员工宿舍保持安全距离。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第四十五条　生产经营单位必须为从业人员提供符合国家标准或者行业标准的劳动防护用品，并监督、教育从业人员按照使用规则佩戴、使用。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第四十七条　生产经营单位应当安排用于配备劳动防护用品、进行安全生产培训的经费。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第四十九条　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第五十条　生产经营单位发生生产安全事故时，单位的主要负责人应当立即组织抢救，并不得在事故调查处理期间擅离职守。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第五十一条　生产经营单位必须依法参加工伤保险，为从业人员缴纳保险费。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第三章　从业人员的安全生产权利义务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生产经营单位不得以任何形式与从业人员订立协议，免除或者减轻其对从业人员因生产安全事故伤亡依法应承担的责任。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第五十三条　生产经营单位的从业人员有权了解其作业场所和工作岗位存在的危险因素、防范措施及事故应急措施，有权对本单位的安全生产工作提出建议。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第五十四条　从业人员有权对本单位安全生产工作中存在的问题提出批评、检举、控告；有权拒绝违章指挥和强令冒险作业。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第五十五条　从业人员发现直接危及人身安全的紧急情况时，有权停止作业或者在采取可能的应急措施后撤离作业场所。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生产经营单位不得因从业人员在前款紧急情况下停止作业或者采取紧急撤离措施而降低其工资、福利等待遇或者解除与其订立的劳动合同。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第五十六条　生产经营单位发生生产安全事故后，应当及时采取措施救治有关人员。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因生产安全事故受到损害的从业人员，除依法享有工伤保险外，依照有关民事法律尚有获得赔偿的权利的，有权提出赔偿要求。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第五十七条　从业人员在作业过程中，应当严格落实岗位安全责任，遵守本单位的安全生产规章制度和操作规程，服从管理，正确佩戴和使用劳动防护用品。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第五十八条　从业人员应当接受安全生产教育和培训，掌握本职工作所需的安全生产知识，提高安全生产技能，增强事故预防和应急处理能力。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第五十九条　从业人员发现事故隐患或者其他不安全因素，应当立即向现场安全生产管理人员或者本单位负责人报告；接到报告的人员应当及时予以处理。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第六十条　工会有权对建设项目的安全设施与主体工程同时设计、同时施工、同时投入生产和使用进行监督，提出意见。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工会有权依法参加事故调查，向有关部门提出处理意见，并要求追究有关人员的责任。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第六十一条　生产经营单位使用被派遣劳动者的，被派遣劳动者享有本法规定的从业人员的权利，并应当履行本法规定的从业人员的义务。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第四章　安全生产的监督管理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（一）进入生产经营单位进行检查，调阅有关资料，向有关单位和人员了解情况；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监督检查不得影响被检查单位的正常生产经营活动。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第六十七条　安全生产监督检查人员应当忠于职守，坚持原则，秉公执法。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安全生产监督检查人员执行监督检查任务时，必须出示有效的行政执法证件；对涉及被检查单位的技术秘密和业务秘密，应当为其保密。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第七十一条　监察机关依照监察法的规定，对负有安全生产监督管理职责的部门及其工作人员履行安全生产监督管理职责实施监察。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承担安全评价、认证、检测、检验职责的机构应当建立并实施服务公开和报告公开制度，不得租借资质、挂靠、出具虚假报告。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涉及人员死亡的举报事项，应当由县级以上人民政府组织核查处理。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第七十四条　任何单位或者个人对事故隐患或者安全生产违法行为，均有权向负有安全生产监督管理职责的部门报告或者举报。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第七十五条　居民委员会、村民委员会发现其所在区域内的生产经营单位存在事故隐患或者安全生产违法行为时，应当向当地人民政府或者有关部门报告。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第七十七条　新闻、出版、广播、电影、电视等单位有进行安全生产公益宣传教育的义务，有对违反安全生产法律、法规的行为进行舆论监督的权利。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第五章　生产安全事故的应急救援与调查处理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第八十条　县级以上地方各级人民政府应当组织有关部门制定本行政区域内生产安全事故应急救援预案，建立应急救援体系。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第八十三条　生产经营单位发生生产安全事故后，事故现场有关人员应当立即报告本单位负责人。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事故抢救过程中应当采取必要措施，避免或者减少对环境造成的危害。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任何单位和个人都应当支持、配合事故抢救，并提供一切便利条件。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事故发生单位应当及时全面落实整改措施，负有安全生产监督管理职责的部门应当加强监督检查。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第八十八条　任何单位和个人不得阻挠和干涉对事故的依法调查处理。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第八十九条　县级以上地方各级人民政府应急管理部门应当定期统计分析本行政区域内发生生产安全事故的情况，并定期向社会公布。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第六章　法律责任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第九十条　负有安全生产监督管理职责的部门的工作人员，有下列行为之一的，给予降级或者撤职的处分；构成犯罪的，依照刑法有关规定追究刑事责任：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（一）对不符合法定安全生产条件的涉及安全生产的事项予以批准或者验收通过的；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（二）发现未依法取得批准、验收的单位擅自从事有关活动或者接到举报后不予取缔或者不依法予以处理的；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（三）对已经依法取得批准的单位不履行监督管理职责，发现其不再具备安全生产条件而不撤销原批准或者发现安全生产违法行为不予查处的；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（四）在监督检查中发现重大事故隐患，不依法及时处理的。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（一）发生一般事故的，处上一年年收入百分之四十的罚款；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（二）发生较大事故的，处上一年年收入百分之六十的罚款；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（三）发生重大事故的，处上一年年收入百分之八十的罚款；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（四）发生特别重大事故的，处上一年年收入百分之一百的罚款。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（一）未按照规定设置安全生产管理机构或者配备安全生产管理人员、注册安全工程师的；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（二）危险物品的生产、经营、储存、装卸单位以及矿山、金属冶炼、建筑施工、运输单位的主要负责人和安全生产管理人员未按照规定经考核合格的；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（四）未如实记录安全生产教育和培训情况的；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（五）未将事故隐患排查治理情况如实记录或者未向从业人员通报的；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（七）特种作业人员未按照规定经专门的安全作业培训并取得相应资格，上岗作业的。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（一）未按照规定对矿山、金属冶炼建设项目或者用于生产、储存、装卸危险物品的建设项目进行安全评价的；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（三）矿山、金属冶炼建设项目或者用于生产、储存、装卸危险物品的建设项目的施工单位未按照批准的安全设施设计施工的；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（四）矿山、金属冶炼建设项目或者用于生产、储存、装卸危险物品的建设项目竣工投入生产或者使用前，安全设施未经验收合格的。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（三）未对安全设备进行经常性维护、保养和定期检测的；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（四）关闭、破坏直接关系生产安全的监控、报警、防护、救生设备、设施，或者篡改、隐瞒、销毁其相关数据、信息的；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（五）未为从业人员提供符合国家标准或者行业标准的劳动防护用品的；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（八）餐饮等行业的生产经营单位使用燃气未安装可燃气体报警装置的。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（一）生产、经营、运输、储存、使用危险物品或者处置废弃危险物品，未建立专门安全管理制度、未采取可靠的安全措施的；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（二）对重大危险源未登记建档，未进行定期检测、评估、监控，未制定应急预案，或者未告知应急措施的；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（三）进行爆破、吊装、动火、临时用电以及国务院应急管理部门会同国务院有关部门规定的其他危险作业，未安排专门人员进行现场安全管理的；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（四）未建立安全风险分级管控制度或者未按照安全风险分级采取相应管控措施的；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（五）未建立事故隐患排查治理制度，或者重大事故隐患排查治理情况未按照规定报告的。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（一）生产、经营、储存、使用危险物品的车间、商店、仓库与员工宿舍在同一座建筑内，或者与员工宿舍的距离不符合安全要求的；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生产经营单位的主要负责人对生产安全事故隐瞒不报、谎报或者迟报的，依照前款规定处罚。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（一）存在重大事故隐患，一百八十日内三次或者一年内四次受到本法规定的行政处罚的；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（二）经停产停业整顿，仍不具备法律、行政法规和国家标准或者行业标准规定的安全生产条件的；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（三）不具备法律、行政法规和国家标准或者行业标准规定的安全生产条件，导致发生重大、特别重大生产安全事故的；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（四）拒不执行负有安全生产监督管理职责的部门作出的停产停业整顿决定的。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第一百一十四条　发生生产安全事故，对负有责任的生产经营单位除要求其依法承担相应的赔偿等责任外，由应急管理部门依照下列规定处以罚款：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（一）发生一般事故的，处三十万元以上一百万元以下的罚款；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（二）发生较大事故的，处一百万元以上二百万元以下的罚款；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（三）发生重大事故的，处二百万元以上一千万元以下的罚款；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（四）发生特别重大事故的，处一千万元以上二千万元以下的罚款。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第七章　附则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第一百一十七条　本法下列用语的含义：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危险物品，是指易燃易爆物品、危险化学品、放射性物品等能够危及人身安全和财产安全的物品。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重大危险源，是指长期地或者临时地生产、搬运、使用或者储存危险物品，且危险物品的数量等于或者超过临界量的单元（包括场所和设施）。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第一百一十八条　本法规定的生产安全一般事故、较大事故、重大事故、特别重大事故的划分标准由国务院规定。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left"/>
        <w:textAlignment w:val="auto"/>
      </w:pPr>
      <w:r>
        <w:rPr>
          <w:rFonts w:ascii="宋体" w:hAnsi="宋体" w:eastAsia="宋体" w:cs="宋体"/>
          <w:kern w:val="0"/>
          <w:sz w:val="24"/>
          <w:szCs w:val="24"/>
          <w:lang w:val="en-US" w:eastAsia="zh-CN" w:bidi="ar"/>
        </w:rPr>
        <w:t>第一百一十九条　本法自2002年11月1日起施行。</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220DA"/>
    <w:rsid w:val="6861656D"/>
    <w:rsid w:val="7B494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2022-02-15T02:48:44Z</dcterms:created>
  <dc:creator>tj</dc:creator>
  <cp:lastModifiedBy>WPS_1492691927</cp:lastModifiedBy>
  <dcterms:modified xsi:type="dcterms:W3CDTF">2022-02-15T02:51:47Z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3731CAACD09B4854BE42416779E9610C</vt:lpwstr>
  </property>
</Properties>
</file>