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15E" w:rsidRDefault="00E47BC7" w:rsidP="00096138">
      <w:pPr>
        <w:spacing w:line="480" w:lineRule="auto"/>
        <w:jc w:val="left"/>
        <w:outlineLvl w:val="0"/>
        <w:rPr>
          <w:rFonts w:ascii="宋体" w:hAnsi="宋体"/>
          <w:b/>
          <w:sz w:val="28"/>
        </w:rPr>
      </w:pPr>
      <w:bookmarkStart w:id="0" w:name="_Toc361210675"/>
      <w:r w:rsidRPr="00096138">
        <w:rPr>
          <w:rFonts w:ascii="宋体" w:hAnsi="宋体" w:hint="eastAsia"/>
          <w:b/>
          <w:sz w:val="28"/>
        </w:rPr>
        <w:t>附件</w:t>
      </w:r>
      <w:r w:rsidR="00560443" w:rsidRPr="00096138">
        <w:rPr>
          <w:rFonts w:ascii="宋体" w:hAnsi="宋体" w:hint="eastAsia"/>
          <w:b/>
          <w:sz w:val="28"/>
        </w:rPr>
        <w:t>1</w:t>
      </w:r>
      <w:r w:rsidR="00C0215E">
        <w:rPr>
          <w:rFonts w:ascii="宋体" w:hAnsi="宋体" w:hint="eastAsia"/>
          <w:b/>
          <w:sz w:val="28"/>
        </w:rPr>
        <w:t>：</w:t>
      </w:r>
      <w:r w:rsidRPr="00096138">
        <w:rPr>
          <w:rFonts w:ascii="宋体" w:hAnsi="宋体" w:hint="eastAsia"/>
          <w:b/>
          <w:sz w:val="28"/>
        </w:rPr>
        <w:t xml:space="preserve">  </w:t>
      </w:r>
    </w:p>
    <w:p w:rsidR="004E2BDA" w:rsidRPr="00096138" w:rsidRDefault="00E47BC7" w:rsidP="00C0215E">
      <w:pPr>
        <w:spacing w:line="480" w:lineRule="auto"/>
        <w:ind w:firstLineChars="1190" w:firstLine="3345"/>
        <w:jc w:val="left"/>
        <w:outlineLvl w:val="0"/>
        <w:rPr>
          <w:rFonts w:ascii="宋体" w:hAnsi="宋体"/>
          <w:b/>
          <w:sz w:val="15"/>
          <w:szCs w:val="21"/>
        </w:rPr>
      </w:pPr>
      <w:r w:rsidRPr="00096138">
        <w:rPr>
          <w:rFonts w:ascii="宋体" w:hAnsi="宋体" w:hint="eastAsia"/>
          <w:b/>
          <w:sz w:val="28"/>
        </w:rPr>
        <w:t>招标内容及要求</w:t>
      </w:r>
      <w:bookmarkEnd w:id="0"/>
    </w:p>
    <w:p w:rsidR="004E2BDA" w:rsidRPr="002E5C37" w:rsidRDefault="006743BF" w:rsidP="00B9087C">
      <w:pPr>
        <w:spacing w:beforeLines="50" w:line="60" w:lineRule="auto"/>
        <w:ind w:firstLineChars="149" w:firstLine="419"/>
        <w:rPr>
          <w:rFonts w:asciiTheme="minorEastAsia" w:eastAsiaTheme="minorEastAsia" w:hAnsiTheme="minorEastAsia"/>
          <w:b/>
          <w:bCs/>
          <w:sz w:val="28"/>
          <w:szCs w:val="28"/>
        </w:rPr>
      </w:pPr>
      <w:r w:rsidRPr="002E5C37">
        <w:rPr>
          <w:rFonts w:asciiTheme="minorEastAsia" w:eastAsiaTheme="minorEastAsia" w:hAnsiTheme="minorEastAsia" w:hint="eastAsia"/>
          <w:b/>
          <w:bCs/>
          <w:sz w:val="28"/>
          <w:szCs w:val="28"/>
        </w:rPr>
        <w:t>一</w:t>
      </w:r>
      <w:r w:rsidR="00E47BC7" w:rsidRPr="002E5C37">
        <w:rPr>
          <w:rFonts w:asciiTheme="minorEastAsia" w:eastAsiaTheme="minorEastAsia" w:hAnsiTheme="minorEastAsia" w:hint="eastAsia"/>
          <w:b/>
          <w:bCs/>
          <w:sz w:val="28"/>
          <w:szCs w:val="28"/>
        </w:rPr>
        <w:t>、内容及要求</w:t>
      </w:r>
    </w:p>
    <w:p w:rsidR="004E2BDA" w:rsidRPr="002E5C37" w:rsidRDefault="00E47BC7" w:rsidP="00B9087C">
      <w:pPr>
        <w:spacing w:beforeLines="50" w:line="60" w:lineRule="auto"/>
        <w:ind w:firstLineChars="100" w:firstLine="281"/>
        <w:rPr>
          <w:rFonts w:asciiTheme="minorEastAsia" w:hAnsiTheme="minorEastAsia"/>
          <w:b/>
          <w:bCs/>
          <w:sz w:val="28"/>
          <w:szCs w:val="28"/>
        </w:rPr>
      </w:pPr>
      <w:r w:rsidRPr="002E5C37">
        <w:rPr>
          <w:rFonts w:asciiTheme="minorEastAsia" w:eastAsiaTheme="minorEastAsia" w:hAnsiTheme="minorEastAsia" w:hint="eastAsia"/>
          <w:b/>
          <w:bCs/>
          <w:sz w:val="28"/>
          <w:szCs w:val="28"/>
        </w:rPr>
        <w:t>（一）</w:t>
      </w:r>
      <w:r w:rsidRPr="002E5C37">
        <w:rPr>
          <w:rFonts w:ascii="宋体" w:hAnsi="宋体" w:hint="eastAsia"/>
          <w:b/>
          <w:bCs/>
          <w:sz w:val="28"/>
          <w:szCs w:val="28"/>
        </w:rPr>
        <w:t>项目建设技术要求</w:t>
      </w:r>
    </w:p>
    <w:tbl>
      <w:tblPr>
        <w:tblW w:w="5123"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2"/>
        <w:gridCol w:w="7008"/>
      </w:tblGrid>
      <w:tr w:rsidR="004E2BDA">
        <w:trPr>
          <w:trHeight w:val="314"/>
          <w:tblHeader/>
        </w:trPr>
        <w:tc>
          <w:tcPr>
            <w:tcW w:w="1331" w:type="pct"/>
            <w:tcMar>
              <w:left w:w="0" w:type="dxa"/>
              <w:right w:w="0" w:type="dxa"/>
            </w:tcMar>
            <w:vAlign w:val="center"/>
          </w:tcPr>
          <w:p w:rsidR="004E2BDA" w:rsidRDefault="00E47BC7">
            <w:pPr>
              <w:pStyle w:val="af2"/>
              <w:overflowPunct w:val="0"/>
              <w:spacing w:beforeLines="0" w:afterLines="0" w:line="240" w:lineRule="auto"/>
              <w:ind w:left="63" w:right="63"/>
              <w:rPr>
                <w:b/>
                <w:color w:val="000000" w:themeColor="text1"/>
                <w:sz w:val="24"/>
                <w:szCs w:val="24"/>
              </w:rPr>
            </w:pPr>
            <w:r>
              <w:rPr>
                <w:b/>
                <w:color w:val="000000" w:themeColor="text1"/>
                <w:sz w:val="24"/>
                <w:szCs w:val="24"/>
              </w:rPr>
              <w:t>标准号</w:t>
            </w:r>
          </w:p>
        </w:tc>
        <w:tc>
          <w:tcPr>
            <w:tcW w:w="3669" w:type="pct"/>
            <w:tcMar>
              <w:left w:w="0" w:type="dxa"/>
              <w:right w:w="0" w:type="dxa"/>
            </w:tcMar>
            <w:vAlign w:val="center"/>
          </w:tcPr>
          <w:p w:rsidR="004E2BDA" w:rsidRDefault="00E47BC7">
            <w:pPr>
              <w:pStyle w:val="af2"/>
              <w:overflowPunct w:val="0"/>
              <w:spacing w:beforeLines="0" w:afterLines="0" w:line="240" w:lineRule="auto"/>
              <w:ind w:left="63" w:right="63"/>
              <w:rPr>
                <w:b/>
                <w:color w:val="000000" w:themeColor="text1"/>
                <w:sz w:val="24"/>
                <w:szCs w:val="24"/>
              </w:rPr>
            </w:pPr>
            <w:r>
              <w:rPr>
                <w:b/>
                <w:color w:val="000000" w:themeColor="text1"/>
                <w:sz w:val="24"/>
                <w:szCs w:val="24"/>
              </w:rPr>
              <w:t>标准名称</w:t>
            </w:r>
          </w:p>
        </w:tc>
      </w:tr>
      <w:tr w:rsidR="004E2BDA">
        <w:tc>
          <w:tcPr>
            <w:tcW w:w="1331"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color w:val="000000" w:themeColor="text1"/>
                <w:sz w:val="24"/>
              </w:rPr>
              <w:t>GB/T 2421-2020</w:t>
            </w:r>
          </w:p>
        </w:tc>
        <w:tc>
          <w:tcPr>
            <w:tcW w:w="3669"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环境试验 概述和指南</w:t>
            </w:r>
          </w:p>
        </w:tc>
      </w:tr>
      <w:tr w:rsidR="004E2BDA">
        <w:tc>
          <w:tcPr>
            <w:tcW w:w="1331"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GB/T 2423.1-2008</w:t>
            </w:r>
          </w:p>
        </w:tc>
        <w:tc>
          <w:tcPr>
            <w:tcW w:w="3669"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电工电子产品环境试验　第2部分：试验方法　试验A：低温</w:t>
            </w:r>
          </w:p>
        </w:tc>
      </w:tr>
      <w:tr w:rsidR="004E2BDA">
        <w:tc>
          <w:tcPr>
            <w:tcW w:w="1331"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GB/T 2423.2-2008</w:t>
            </w:r>
          </w:p>
        </w:tc>
        <w:tc>
          <w:tcPr>
            <w:tcW w:w="3669"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电工电子产品环境试验　第2部分：试验方法　试验B：高温</w:t>
            </w:r>
          </w:p>
        </w:tc>
      </w:tr>
      <w:tr w:rsidR="004E2BDA">
        <w:tc>
          <w:tcPr>
            <w:tcW w:w="1331"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GB/T 2423.4-2008</w:t>
            </w:r>
          </w:p>
        </w:tc>
        <w:tc>
          <w:tcPr>
            <w:tcW w:w="3669"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电工电子产品环境试验　第2部分：试验方法　试验Db：交变湿热（12h+12h循环）</w:t>
            </w:r>
          </w:p>
        </w:tc>
      </w:tr>
      <w:tr w:rsidR="004E2BDA">
        <w:tc>
          <w:tcPr>
            <w:tcW w:w="1331"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GB/T 2423.17-2008</w:t>
            </w:r>
          </w:p>
        </w:tc>
        <w:tc>
          <w:tcPr>
            <w:tcW w:w="3669"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电工电子产品环境试验 第2部分：试验方法 试验Ka：盐雾</w:t>
            </w:r>
          </w:p>
        </w:tc>
      </w:tr>
      <w:tr w:rsidR="004E2BDA">
        <w:tc>
          <w:tcPr>
            <w:tcW w:w="1331"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GB/T 2423.55-2006</w:t>
            </w:r>
          </w:p>
        </w:tc>
        <w:tc>
          <w:tcPr>
            <w:tcW w:w="3669"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电工电子产品环境试验　第2部分：环境测试实验Eh：锤击试验</w:t>
            </w:r>
          </w:p>
        </w:tc>
      </w:tr>
      <w:tr w:rsidR="004E2BDA">
        <w:tc>
          <w:tcPr>
            <w:tcW w:w="1331"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GB 4208-20</w:t>
            </w:r>
            <w:r>
              <w:rPr>
                <w:rFonts w:ascii="宋体" w:hAnsi="宋体"/>
                <w:color w:val="000000" w:themeColor="text1"/>
                <w:sz w:val="24"/>
              </w:rPr>
              <w:t>17</w:t>
            </w:r>
          </w:p>
        </w:tc>
        <w:tc>
          <w:tcPr>
            <w:tcW w:w="3669"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外壳防护等级（IP代码）</w:t>
            </w:r>
          </w:p>
        </w:tc>
      </w:tr>
      <w:tr w:rsidR="004E2BDA">
        <w:tc>
          <w:tcPr>
            <w:tcW w:w="1331"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GB</w:t>
            </w:r>
            <w:r>
              <w:rPr>
                <w:rFonts w:ascii="宋体" w:hAnsi="宋体"/>
                <w:color w:val="000000" w:themeColor="text1"/>
                <w:sz w:val="24"/>
              </w:rPr>
              <w:t xml:space="preserve"> 4824-2019</w:t>
            </w:r>
          </w:p>
        </w:tc>
        <w:tc>
          <w:tcPr>
            <w:tcW w:w="3669"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工业、科学和医疗设备</w:t>
            </w:r>
            <w:r>
              <w:rPr>
                <w:rFonts w:ascii="宋体" w:hAnsi="宋体"/>
                <w:color w:val="000000" w:themeColor="text1"/>
                <w:sz w:val="24"/>
              </w:rPr>
              <w:t xml:space="preserve"> 射频骚扰特性 限值和测量方法</w:t>
            </w:r>
          </w:p>
        </w:tc>
      </w:tr>
      <w:tr w:rsidR="004E2BDA">
        <w:tc>
          <w:tcPr>
            <w:tcW w:w="1331"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GB</w:t>
            </w:r>
            <w:r>
              <w:rPr>
                <w:rFonts w:ascii="宋体" w:hAnsi="宋体"/>
                <w:color w:val="000000" w:themeColor="text1"/>
                <w:sz w:val="24"/>
              </w:rPr>
              <w:t>/</w:t>
            </w:r>
            <w:r>
              <w:rPr>
                <w:rFonts w:ascii="宋体" w:hAnsi="宋体" w:hint="eastAsia"/>
                <w:color w:val="000000" w:themeColor="text1"/>
                <w:sz w:val="24"/>
              </w:rPr>
              <w:t>T</w:t>
            </w:r>
            <w:r>
              <w:rPr>
                <w:rFonts w:ascii="宋体" w:hAnsi="宋体"/>
                <w:color w:val="000000" w:themeColor="text1"/>
                <w:sz w:val="24"/>
              </w:rPr>
              <w:t xml:space="preserve"> 7251.1-2013</w:t>
            </w:r>
          </w:p>
        </w:tc>
        <w:tc>
          <w:tcPr>
            <w:tcW w:w="3669"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低压成套开关设备和控制设备 第1部分：总则</w:t>
            </w:r>
          </w:p>
        </w:tc>
      </w:tr>
      <w:tr w:rsidR="004E2BDA">
        <w:tc>
          <w:tcPr>
            <w:tcW w:w="1331"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GB 17625.1-2012</w:t>
            </w:r>
          </w:p>
        </w:tc>
        <w:tc>
          <w:tcPr>
            <w:tcW w:w="3669"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电磁兼容　限值　谐波电流发射限值(设备每相输入电流≤16 A)</w:t>
            </w:r>
          </w:p>
        </w:tc>
      </w:tr>
      <w:tr w:rsidR="004E2BDA">
        <w:tc>
          <w:tcPr>
            <w:tcW w:w="1331"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color w:val="000000" w:themeColor="text1"/>
                <w:sz w:val="24"/>
              </w:rPr>
              <w:t>GB/T 17625.2-2007</w:t>
            </w:r>
          </w:p>
        </w:tc>
        <w:tc>
          <w:tcPr>
            <w:tcW w:w="3669"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电磁兼容 限值 对每相额定电流≤16A且无条件接入的设备在公用低压供电系统中产生的电压变化、电压波动和闪烁的限制</w:t>
            </w:r>
          </w:p>
        </w:tc>
      </w:tr>
      <w:tr w:rsidR="004E2BDA">
        <w:tc>
          <w:tcPr>
            <w:tcW w:w="1331"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color w:val="000000" w:themeColor="text1"/>
                <w:sz w:val="24"/>
              </w:rPr>
              <w:t>GB/T 17625.7-2013</w:t>
            </w:r>
          </w:p>
        </w:tc>
        <w:tc>
          <w:tcPr>
            <w:tcW w:w="3669"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电磁兼容 限值 对额定电流≤75A且有条件接入的设备在公用低压供电系统中产生的电压变化、电压波动和闪烁的限制</w:t>
            </w:r>
          </w:p>
        </w:tc>
      </w:tr>
      <w:tr w:rsidR="004E2BDA">
        <w:tc>
          <w:tcPr>
            <w:tcW w:w="1331"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color w:val="000000" w:themeColor="text1"/>
                <w:sz w:val="24"/>
              </w:rPr>
              <w:t>GB/T 17625.8-2015</w:t>
            </w:r>
          </w:p>
        </w:tc>
        <w:tc>
          <w:tcPr>
            <w:tcW w:w="3669"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电磁兼容 限值 每相输入电流大于16A小于等于75A连接到公用低压系统的设备产生的谐波电流限值</w:t>
            </w:r>
          </w:p>
        </w:tc>
      </w:tr>
      <w:tr w:rsidR="004E2BDA">
        <w:tc>
          <w:tcPr>
            <w:tcW w:w="1331"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GB/Z 17625.6-2003</w:t>
            </w:r>
          </w:p>
        </w:tc>
        <w:tc>
          <w:tcPr>
            <w:tcW w:w="3669"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电磁兼容　限值　对额定电流大于16 A的设备在低压供电系统中产生的谐波电流的限制</w:t>
            </w:r>
          </w:p>
        </w:tc>
      </w:tr>
      <w:tr w:rsidR="004E2BDA">
        <w:tc>
          <w:tcPr>
            <w:tcW w:w="1331"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GB/T 17626.2-20</w:t>
            </w:r>
            <w:r>
              <w:rPr>
                <w:rFonts w:ascii="宋体" w:hAnsi="宋体"/>
                <w:color w:val="000000" w:themeColor="text1"/>
                <w:sz w:val="24"/>
              </w:rPr>
              <w:t>18</w:t>
            </w:r>
          </w:p>
        </w:tc>
        <w:tc>
          <w:tcPr>
            <w:tcW w:w="3669"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电磁兼容 试验和测量技术 静电放电抗扰度试验</w:t>
            </w:r>
          </w:p>
        </w:tc>
      </w:tr>
      <w:tr w:rsidR="004E2BDA">
        <w:tc>
          <w:tcPr>
            <w:tcW w:w="1331"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GB/T 17626.3-20</w:t>
            </w:r>
            <w:r>
              <w:rPr>
                <w:rFonts w:ascii="宋体" w:hAnsi="宋体"/>
                <w:color w:val="000000" w:themeColor="text1"/>
                <w:sz w:val="24"/>
              </w:rPr>
              <w:t>1</w:t>
            </w:r>
            <w:r>
              <w:rPr>
                <w:rFonts w:ascii="宋体" w:hAnsi="宋体" w:hint="eastAsia"/>
                <w:color w:val="000000" w:themeColor="text1"/>
                <w:sz w:val="24"/>
              </w:rPr>
              <w:t>6</w:t>
            </w:r>
          </w:p>
        </w:tc>
        <w:tc>
          <w:tcPr>
            <w:tcW w:w="3669"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电磁兼容 试验和测量技术 射频电磁场辐射抗扰度试验</w:t>
            </w:r>
          </w:p>
        </w:tc>
      </w:tr>
      <w:tr w:rsidR="004E2BDA">
        <w:tc>
          <w:tcPr>
            <w:tcW w:w="1331"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GB/T 17626.4-20</w:t>
            </w:r>
            <w:r>
              <w:rPr>
                <w:rFonts w:ascii="宋体" w:hAnsi="宋体"/>
                <w:color w:val="000000" w:themeColor="text1"/>
                <w:sz w:val="24"/>
              </w:rPr>
              <w:t>1</w:t>
            </w:r>
            <w:r>
              <w:rPr>
                <w:rFonts w:ascii="宋体" w:hAnsi="宋体" w:hint="eastAsia"/>
                <w:color w:val="000000" w:themeColor="text1"/>
                <w:sz w:val="24"/>
              </w:rPr>
              <w:t>8</w:t>
            </w:r>
          </w:p>
        </w:tc>
        <w:tc>
          <w:tcPr>
            <w:tcW w:w="3669"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电磁兼容 试验和测量技术 电快速瞬变脉冲群抗扰度试验</w:t>
            </w:r>
          </w:p>
        </w:tc>
      </w:tr>
      <w:tr w:rsidR="004E2BDA">
        <w:tc>
          <w:tcPr>
            <w:tcW w:w="1331"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GB/T 17626.5-20</w:t>
            </w:r>
            <w:r>
              <w:rPr>
                <w:rFonts w:ascii="宋体" w:hAnsi="宋体"/>
                <w:color w:val="000000" w:themeColor="text1"/>
                <w:sz w:val="24"/>
              </w:rPr>
              <w:t>19</w:t>
            </w:r>
          </w:p>
        </w:tc>
        <w:tc>
          <w:tcPr>
            <w:tcW w:w="3669"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电磁兼容 试验和测量技术 浪涌（冲击）抗扰度试验</w:t>
            </w:r>
          </w:p>
        </w:tc>
      </w:tr>
      <w:tr w:rsidR="004E2BDA">
        <w:tc>
          <w:tcPr>
            <w:tcW w:w="1331"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color w:val="000000" w:themeColor="text1"/>
                <w:sz w:val="24"/>
              </w:rPr>
              <w:t>GB/T 17626.6-2017</w:t>
            </w:r>
          </w:p>
        </w:tc>
        <w:tc>
          <w:tcPr>
            <w:tcW w:w="3669"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电磁兼容 试验和测量技术 射频场感应的传导骚扰抗扰度</w:t>
            </w:r>
          </w:p>
        </w:tc>
      </w:tr>
      <w:tr w:rsidR="004E2BDA">
        <w:tc>
          <w:tcPr>
            <w:tcW w:w="1331"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color w:val="000000" w:themeColor="text1"/>
                <w:sz w:val="24"/>
              </w:rPr>
              <w:t>GB/T 17626.8-2006</w:t>
            </w:r>
          </w:p>
        </w:tc>
        <w:tc>
          <w:tcPr>
            <w:tcW w:w="3669"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电磁兼容 试验和测量技术 工频磁场抗扰度试验</w:t>
            </w:r>
          </w:p>
        </w:tc>
      </w:tr>
      <w:tr w:rsidR="004E2BDA">
        <w:tc>
          <w:tcPr>
            <w:tcW w:w="1331"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color w:val="000000" w:themeColor="text1"/>
                <w:sz w:val="24"/>
              </w:rPr>
              <w:t>GB/T 17626.11-2008</w:t>
            </w:r>
          </w:p>
        </w:tc>
        <w:tc>
          <w:tcPr>
            <w:tcW w:w="3669"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电磁兼容 试验和测量技术 电压暂降、短时中断和电压变化的抗扰度试验</w:t>
            </w:r>
          </w:p>
        </w:tc>
      </w:tr>
      <w:tr w:rsidR="004E2BDA">
        <w:tc>
          <w:tcPr>
            <w:tcW w:w="1331"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color w:val="000000" w:themeColor="text1"/>
                <w:sz w:val="24"/>
              </w:rPr>
              <w:t>GB/T 17626.34-2012</w:t>
            </w:r>
          </w:p>
        </w:tc>
        <w:tc>
          <w:tcPr>
            <w:tcW w:w="3669"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电磁兼容 试验和测量技术 主电源每相电流大于16A的设备的电压暂降、短时中断和电压变化抗扰度试验</w:t>
            </w:r>
          </w:p>
        </w:tc>
      </w:tr>
      <w:tr w:rsidR="004E2BDA">
        <w:tc>
          <w:tcPr>
            <w:tcW w:w="1331"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GB/T 18487.1-2015</w:t>
            </w:r>
          </w:p>
        </w:tc>
        <w:tc>
          <w:tcPr>
            <w:tcW w:w="3669"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电动汽车传导充电系统 第1部分：通用要求</w:t>
            </w:r>
          </w:p>
        </w:tc>
      </w:tr>
      <w:tr w:rsidR="004E2BDA">
        <w:tc>
          <w:tcPr>
            <w:tcW w:w="1331"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GB/T 18487.2-2017</w:t>
            </w:r>
          </w:p>
        </w:tc>
        <w:tc>
          <w:tcPr>
            <w:tcW w:w="3669"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电动汽车传导充电系统 第2部分：非车载传导供电设备电磁兼容要求</w:t>
            </w:r>
          </w:p>
        </w:tc>
      </w:tr>
      <w:tr w:rsidR="004E2BDA">
        <w:tc>
          <w:tcPr>
            <w:tcW w:w="1331"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GB/T 20234.1-2015</w:t>
            </w:r>
          </w:p>
        </w:tc>
        <w:tc>
          <w:tcPr>
            <w:tcW w:w="3669"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电动汽车传导充电用连接装置 第1部分：通用要求</w:t>
            </w:r>
          </w:p>
        </w:tc>
      </w:tr>
      <w:tr w:rsidR="004E2BDA">
        <w:tc>
          <w:tcPr>
            <w:tcW w:w="1331"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GB/T 20234.</w:t>
            </w:r>
            <w:r>
              <w:rPr>
                <w:rFonts w:ascii="宋体" w:hAnsi="宋体"/>
                <w:color w:val="000000" w:themeColor="text1"/>
                <w:sz w:val="24"/>
              </w:rPr>
              <w:t>2</w:t>
            </w:r>
            <w:r>
              <w:rPr>
                <w:rFonts w:ascii="宋体" w:hAnsi="宋体" w:hint="eastAsia"/>
                <w:color w:val="000000" w:themeColor="text1"/>
                <w:sz w:val="24"/>
              </w:rPr>
              <w:t>-2015</w:t>
            </w:r>
          </w:p>
        </w:tc>
        <w:tc>
          <w:tcPr>
            <w:tcW w:w="3669"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电动汽车传导充电用连接装置 第</w:t>
            </w:r>
            <w:r>
              <w:rPr>
                <w:rFonts w:ascii="宋体" w:hAnsi="宋体"/>
                <w:color w:val="000000" w:themeColor="text1"/>
                <w:sz w:val="24"/>
              </w:rPr>
              <w:t>2</w:t>
            </w:r>
            <w:r>
              <w:rPr>
                <w:rFonts w:ascii="宋体" w:hAnsi="宋体" w:hint="eastAsia"/>
                <w:color w:val="000000" w:themeColor="text1"/>
                <w:sz w:val="24"/>
              </w:rPr>
              <w:t>部分：交流充电接口</w:t>
            </w:r>
          </w:p>
        </w:tc>
      </w:tr>
      <w:tr w:rsidR="004E2BDA">
        <w:tc>
          <w:tcPr>
            <w:tcW w:w="1331"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GB/T 20234.3-2015</w:t>
            </w:r>
          </w:p>
        </w:tc>
        <w:tc>
          <w:tcPr>
            <w:tcW w:w="3669"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电动汽车传导充电用连接装置 第3部分：直流充电接口</w:t>
            </w:r>
          </w:p>
        </w:tc>
      </w:tr>
      <w:tr w:rsidR="004E2BDA">
        <w:tc>
          <w:tcPr>
            <w:tcW w:w="1331"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lastRenderedPageBreak/>
              <w:t>GB/T 27930-2015</w:t>
            </w:r>
          </w:p>
        </w:tc>
        <w:tc>
          <w:tcPr>
            <w:tcW w:w="3669"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电动汽车非车载传导式充电机与电池管理系统之间的通信协议</w:t>
            </w:r>
          </w:p>
        </w:tc>
      </w:tr>
      <w:tr w:rsidR="004E2BDA">
        <w:tc>
          <w:tcPr>
            <w:tcW w:w="1331"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color w:val="000000" w:themeColor="text1"/>
                <w:sz w:val="24"/>
              </w:rPr>
              <w:t>GB/T 29317-2021</w:t>
            </w:r>
          </w:p>
        </w:tc>
        <w:tc>
          <w:tcPr>
            <w:tcW w:w="3669"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电动汽车充换电设施术语</w:t>
            </w:r>
          </w:p>
        </w:tc>
      </w:tr>
      <w:tr w:rsidR="004E2BDA">
        <w:tc>
          <w:tcPr>
            <w:tcW w:w="1331"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color w:val="000000" w:themeColor="text1"/>
                <w:sz w:val="24"/>
              </w:rPr>
              <w:t>GB/T 28569-2012</w:t>
            </w:r>
          </w:p>
        </w:tc>
        <w:tc>
          <w:tcPr>
            <w:tcW w:w="3669"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电动汽车交流充电桩电能计量</w:t>
            </w:r>
          </w:p>
        </w:tc>
      </w:tr>
      <w:tr w:rsidR="004E2BDA">
        <w:tc>
          <w:tcPr>
            <w:tcW w:w="1331"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GB/T 29318-2012</w:t>
            </w:r>
          </w:p>
        </w:tc>
        <w:tc>
          <w:tcPr>
            <w:tcW w:w="3669"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电动汽车非车载充电机电能计量</w:t>
            </w:r>
          </w:p>
        </w:tc>
      </w:tr>
      <w:tr w:rsidR="004E2BDA">
        <w:tc>
          <w:tcPr>
            <w:tcW w:w="1331"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GB/T 34657.1-2017</w:t>
            </w:r>
          </w:p>
        </w:tc>
        <w:tc>
          <w:tcPr>
            <w:tcW w:w="3669"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电动汽车传导充电互操作性测试规范 第1部分:供电设备</w:t>
            </w:r>
          </w:p>
        </w:tc>
      </w:tr>
      <w:tr w:rsidR="004E2BDA">
        <w:tc>
          <w:tcPr>
            <w:tcW w:w="1331"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color w:val="000000" w:themeColor="text1"/>
                <w:sz w:val="24"/>
              </w:rPr>
              <w:t>GB/T 34658-2017</w:t>
            </w:r>
          </w:p>
        </w:tc>
        <w:tc>
          <w:tcPr>
            <w:tcW w:w="3669"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电动汽车非车载传导式充电机与电池管理系统之间的通信协议一致性测试</w:t>
            </w:r>
          </w:p>
        </w:tc>
      </w:tr>
      <w:tr w:rsidR="004E2BDA">
        <w:tc>
          <w:tcPr>
            <w:tcW w:w="1331"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GB/T 13384-2008</w:t>
            </w:r>
          </w:p>
        </w:tc>
        <w:tc>
          <w:tcPr>
            <w:tcW w:w="3669"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机电产品包装通用技术条件</w:t>
            </w:r>
          </w:p>
        </w:tc>
      </w:tr>
      <w:tr w:rsidR="004E2BDA">
        <w:tc>
          <w:tcPr>
            <w:tcW w:w="1331"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GB/T 29316-2012</w:t>
            </w:r>
          </w:p>
        </w:tc>
        <w:tc>
          <w:tcPr>
            <w:tcW w:w="3669"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电动汽车充换电设施电能质量技术要求</w:t>
            </w:r>
          </w:p>
        </w:tc>
      </w:tr>
      <w:tr w:rsidR="004E2BDA">
        <w:tc>
          <w:tcPr>
            <w:tcW w:w="1331"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NB/T 33001-2018</w:t>
            </w:r>
          </w:p>
        </w:tc>
        <w:tc>
          <w:tcPr>
            <w:tcW w:w="3669"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电动汽车非车载传导式充电机技术条件</w:t>
            </w:r>
          </w:p>
        </w:tc>
      </w:tr>
      <w:tr w:rsidR="004E2BDA">
        <w:tc>
          <w:tcPr>
            <w:tcW w:w="1331"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NB/T 3300</w:t>
            </w:r>
            <w:r>
              <w:rPr>
                <w:rFonts w:ascii="宋体" w:hAnsi="宋体"/>
                <w:color w:val="000000" w:themeColor="text1"/>
                <w:sz w:val="24"/>
              </w:rPr>
              <w:t>2</w:t>
            </w:r>
            <w:r>
              <w:rPr>
                <w:rFonts w:ascii="宋体" w:hAnsi="宋体" w:hint="eastAsia"/>
                <w:color w:val="000000" w:themeColor="text1"/>
                <w:sz w:val="24"/>
              </w:rPr>
              <w:t>-2018</w:t>
            </w:r>
          </w:p>
        </w:tc>
        <w:tc>
          <w:tcPr>
            <w:tcW w:w="3669"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电动汽车交流充电桩技术条件</w:t>
            </w:r>
          </w:p>
        </w:tc>
      </w:tr>
      <w:tr w:rsidR="004E2BDA">
        <w:tc>
          <w:tcPr>
            <w:tcW w:w="1331"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NB/T 33008.1-2018</w:t>
            </w:r>
          </w:p>
        </w:tc>
        <w:tc>
          <w:tcPr>
            <w:tcW w:w="3669"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电动汽车充电设备检验试验规范 第1部分：非车载充电机</w:t>
            </w:r>
          </w:p>
        </w:tc>
      </w:tr>
      <w:tr w:rsidR="004E2BDA">
        <w:tc>
          <w:tcPr>
            <w:tcW w:w="1331"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NB/T 33008.</w:t>
            </w:r>
            <w:r>
              <w:rPr>
                <w:rFonts w:ascii="宋体" w:hAnsi="宋体"/>
                <w:color w:val="000000" w:themeColor="text1"/>
                <w:sz w:val="24"/>
              </w:rPr>
              <w:t>2</w:t>
            </w:r>
            <w:r>
              <w:rPr>
                <w:rFonts w:ascii="宋体" w:hAnsi="宋体" w:hint="eastAsia"/>
                <w:color w:val="000000" w:themeColor="text1"/>
                <w:sz w:val="24"/>
              </w:rPr>
              <w:t>-2018</w:t>
            </w:r>
          </w:p>
        </w:tc>
        <w:tc>
          <w:tcPr>
            <w:tcW w:w="3669"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电动汽车充电设备检验试验规范 第</w:t>
            </w:r>
            <w:r>
              <w:rPr>
                <w:rFonts w:ascii="宋体" w:hAnsi="宋体"/>
                <w:color w:val="000000" w:themeColor="text1"/>
                <w:sz w:val="24"/>
              </w:rPr>
              <w:t>2</w:t>
            </w:r>
            <w:r>
              <w:rPr>
                <w:rFonts w:ascii="宋体" w:hAnsi="宋体" w:hint="eastAsia"/>
                <w:color w:val="000000" w:themeColor="text1"/>
                <w:sz w:val="24"/>
              </w:rPr>
              <w:t>部分：交流充电机</w:t>
            </w:r>
          </w:p>
        </w:tc>
      </w:tr>
      <w:tr w:rsidR="004E2BDA">
        <w:tc>
          <w:tcPr>
            <w:tcW w:w="1331"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IEC</w:t>
            </w:r>
            <w:r>
              <w:rPr>
                <w:rFonts w:ascii="宋体" w:hAnsi="宋体"/>
                <w:color w:val="000000" w:themeColor="text1"/>
                <w:sz w:val="24"/>
              </w:rPr>
              <w:t xml:space="preserve"> 61851-23</w:t>
            </w:r>
          </w:p>
        </w:tc>
        <w:tc>
          <w:tcPr>
            <w:tcW w:w="3669" w:type="pct"/>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电动汽车传导充电系统 第2</w:t>
            </w:r>
            <w:r>
              <w:rPr>
                <w:rFonts w:ascii="宋体" w:hAnsi="宋体"/>
                <w:color w:val="000000" w:themeColor="text1"/>
                <w:sz w:val="24"/>
              </w:rPr>
              <w:t>3</w:t>
            </w:r>
            <w:r>
              <w:rPr>
                <w:rFonts w:ascii="宋体" w:hAnsi="宋体" w:hint="eastAsia"/>
                <w:color w:val="000000" w:themeColor="text1"/>
                <w:sz w:val="24"/>
              </w:rPr>
              <w:t>部分：直流电动汽车充电站</w:t>
            </w:r>
          </w:p>
        </w:tc>
      </w:tr>
      <w:tr w:rsidR="004E2BDA">
        <w:tc>
          <w:tcPr>
            <w:tcW w:w="1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DL/T645-2007</w:t>
            </w:r>
          </w:p>
        </w:tc>
        <w:tc>
          <w:tcPr>
            <w:tcW w:w="3669"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4E2BDA" w:rsidRDefault="00E47BC7">
            <w:pPr>
              <w:topLinePunct/>
              <w:snapToGrid w:val="0"/>
              <w:ind w:leftChars="59" w:left="124"/>
              <w:jc w:val="left"/>
              <w:rPr>
                <w:rFonts w:ascii="宋体" w:hAnsi="宋体"/>
                <w:color w:val="000000" w:themeColor="text1"/>
                <w:sz w:val="24"/>
              </w:rPr>
            </w:pPr>
            <w:r>
              <w:rPr>
                <w:rFonts w:ascii="宋体" w:hAnsi="宋体" w:hint="eastAsia"/>
                <w:color w:val="000000" w:themeColor="text1"/>
                <w:sz w:val="24"/>
              </w:rPr>
              <w:t>多功能电能表通信协议</w:t>
            </w:r>
          </w:p>
        </w:tc>
      </w:tr>
    </w:tbl>
    <w:p w:rsidR="004E2BDA" w:rsidRDefault="004E2BDA" w:rsidP="00B9087C">
      <w:pPr>
        <w:spacing w:beforeLines="50" w:line="60" w:lineRule="auto"/>
        <w:ind w:firstLineChars="100" w:firstLine="241"/>
        <w:rPr>
          <w:rFonts w:asciiTheme="minorEastAsia" w:eastAsiaTheme="minorEastAsia" w:hAnsiTheme="minorEastAsia"/>
          <w:b/>
          <w:bCs/>
          <w:sz w:val="24"/>
        </w:rPr>
      </w:pPr>
    </w:p>
    <w:p w:rsidR="004E2BDA" w:rsidRPr="002E5C37" w:rsidRDefault="00E47BC7">
      <w:pPr>
        <w:keepNext/>
        <w:keepLines/>
        <w:spacing w:before="260" w:after="260" w:line="416" w:lineRule="auto"/>
        <w:outlineLvl w:val="2"/>
        <w:rPr>
          <w:rFonts w:ascii="宋体" w:hAnsi="宋体"/>
          <w:b/>
          <w:bCs/>
          <w:sz w:val="28"/>
          <w:szCs w:val="28"/>
        </w:rPr>
      </w:pPr>
      <w:r w:rsidRPr="002E5C37">
        <w:rPr>
          <w:rFonts w:ascii="宋体" w:hAnsi="宋体" w:hint="eastAsia"/>
          <w:b/>
          <w:bCs/>
          <w:sz w:val="28"/>
          <w:szCs w:val="28"/>
        </w:rPr>
        <w:t>（二）技术参数要求</w:t>
      </w:r>
    </w:p>
    <w:p w:rsidR="004E2BDA" w:rsidRPr="002E5C37" w:rsidRDefault="00677A45">
      <w:pPr>
        <w:keepNext/>
        <w:keepLines/>
        <w:spacing w:before="260" w:after="260" w:line="416" w:lineRule="auto"/>
        <w:outlineLvl w:val="1"/>
        <w:rPr>
          <w:rFonts w:ascii="宋体" w:hAnsi="宋体"/>
          <w:b/>
          <w:bCs/>
          <w:sz w:val="24"/>
          <w:szCs w:val="28"/>
        </w:rPr>
      </w:pPr>
      <w:r>
        <w:rPr>
          <w:rFonts w:ascii="宋体" w:hAnsi="宋体" w:hint="eastAsia"/>
          <w:b/>
          <w:bCs/>
          <w:sz w:val="24"/>
          <w:szCs w:val="28"/>
        </w:rPr>
        <w:t>1</w:t>
      </w:r>
      <w:r w:rsidR="00E47BC7" w:rsidRPr="002E5C37">
        <w:rPr>
          <w:rFonts w:ascii="宋体" w:hAnsi="宋体" w:hint="eastAsia"/>
          <w:b/>
          <w:bCs/>
          <w:sz w:val="24"/>
          <w:szCs w:val="28"/>
        </w:rPr>
        <w:t>.交流充电桩技术要求</w:t>
      </w:r>
    </w:p>
    <w:p w:rsidR="004E2BDA" w:rsidRPr="002E5C37" w:rsidRDefault="00677A45">
      <w:pPr>
        <w:keepNext/>
        <w:keepLines/>
        <w:spacing w:before="260" w:after="260" w:line="416" w:lineRule="auto"/>
        <w:outlineLvl w:val="2"/>
        <w:rPr>
          <w:rFonts w:ascii="宋体" w:hAnsi="宋体"/>
          <w:b/>
          <w:bCs/>
          <w:sz w:val="24"/>
          <w:szCs w:val="28"/>
        </w:rPr>
      </w:pPr>
      <w:r>
        <w:rPr>
          <w:rFonts w:ascii="宋体" w:hAnsi="宋体" w:hint="eastAsia"/>
          <w:b/>
          <w:bCs/>
          <w:sz w:val="24"/>
          <w:szCs w:val="28"/>
        </w:rPr>
        <w:t>1</w:t>
      </w:r>
      <w:r w:rsidR="00E47BC7" w:rsidRPr="002E5C37">
        <w:rPr>
          <w:rFonts w:ascii="宋体" w:hAnsi="宋体"/>
          <w:b/>
          <w:bCs/>
          <w:sz w:val="24"/>
          <w:szCs w:val="28"/>
        </w:rPr>
        <w:t>.1</w:t>
      </w:r>
      <w:r w:rsidR="00E47BC7" w:rsidRPr="002E5C37">
        <w:rPr>
          <w:rFonts w:ascii="宋体" w:hAnsi="宋体" w:hint="eastAsia"/>
          <w:b/>
          <w:bCs/>
          <w:sz w:val="24"/>
          <w:szCs w:val="28"/>
        </w:rPr>
        <w:t>技术参数要求</w:t>
      </w:r>
    </w:p>
    <w:tbl>
      <w:tblPr>
        <w:tblW w:w="920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8"/>
        <w:gridCol w:w="2381"/>
        <w:gridCol w:w="6095"/>
      </w:tblGrid>
      <w:tr w:rsidR="004E2BDA">
        <w:trPr>
          <w:trHeight w:val="20"/>
          <w:tblHeader/>
        </w:trPr>
        <w:tc>
          <w:tcPr>
            <w:tcW w:w="728"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序号</w:t>
            </w:r>
          </w:p>
        </w:tc>
        <w:tc>
          <w:tcPr>
            <w:tcW w:w="2381"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项目</w:t>
            </w:r>
          </w:p>
        </w:tc>
        <w:tc>
          <w:tcPr>
            <w:tcW w:w="6095"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技术参数</w:t>
            </w:r>
          </w:p>
        </w:tc>
      </w:tr>
      <w:tr w:rsidR="004E2BDA">
        <w:trPr>
          <w:trHeight w:val="20"/>
        </w:trPr>
        <w:tc>
          <w:tcPr>
            <w:tcW w:w="728"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1</w:t>
            </w:r>
          </w:p>
        </w:tc>
        <w:tc>
          <w:tcPr>
            <w:tcW w:w="2381"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交流输入电压</w:t>
            </w:r>
          </w:p>
        </w:tc>
        <w:tc>
          <w:tcPr>
            <w:tcW w:w="6095" w:type="dxa"/>
            <w:shd w:val="clear" w:color="auto" w:fill="auto"/>
            <w:vAlign w:val="center"/>
          </w:tcPr>
          <w:p w:rsidR="004E2BDA" w:rsidRDefault="00E47BC7">
            <w:pPr>
              <w:widowControl/>
              <w:jc w:val="left"/>
              <w:rPr>
                <w:rFonts w:ascii="宋体" w:hAnsi="宋体" w:cs="宋体"/>
                <w:color w:val="000000"/>
                <w:sz w:val="24"/>
              </w:rPr>
            </w:pPr>
            <w:r>
              <w:rPr>
                <w:rFonts w:ascii="宋体" w:hAnsi="宋体" w:cs="宋体" w:hint="eastAsia"/>
                <w:color w:val="000000"/>
                <w:sz w:val="24"/>
              </w:rPr>
              <w:t>单相220V AC</w:t>
            </w:r>
          </w:p>
        </w:tc>
      </w:tr>
      <w:tr w:rsidR="004E2BDA">
        <w:trPr>
          <w:trHeight w:val="20"/>
        </w:trPr>
        <w:tc>
          <w:tcPr>
            <w:tcW w:w="728"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2</w:t>
            </w:r>
          </w:p>
        </w:tc>
        <w:tc>
          <w:tcPr>
            <w:tcW w:w="2381" w:type="dxa"/>
            <w:shd w:val="clear" w:color="auto" w:fill="auto"/>
            <w:vAlign w:val="center"/>
          </w:tcPr>
          <w:p w:rsidR="004E2BDA" w:rsidRDefault="00E47BC7">
            <w:pPr>
              <w:widowControl/>
              <w:rPr>
                <w:rFonts w:ascii="宋体" w:hAnsi="宋体" w:cs="宋体"/>
                <w:color w:val="000000"/>
                <w:sz w:val="24"/>
              </w:rPr>
            </w:pPr>
            <w:r>
              <w:rPr>
                <w:rFonts w:ascii="宋体" w:hAnsi="宋体" w:cs="宋体" w:hint="eastAsia"/>
                <w:color w:val="000000"/>
                <w:sz w:val="24"/>
              </w:rPr>
              <w:t>交流输入频率</w:t>
            </w:r>
          </w:p>
        </w:tc>
        <w:tc>
          <w:tcPr>
            <w:tcW w:w="6095" w:type="dxa"/>
            <w:shd w:val="clear" w:color="auto" w:fill="auto"/>
            <w:vAlign w:val="center"/>
          </w:tcPr>
          <w:p w:rsidR="004E2BDA" w:rsidRDefault="00E47BC7">
            <w:pPr>
              <w:widowControl/>
              <w:jc w:val="left"/>
              <w:rPr>
                <w:rFonts w:ascii="宋体" w:hAnsi="宋体" w:cs="宋体"/>
                <w:color w:val="000000"/>
                <w:sz w:val="24"/>
              </w:rPr>
            </w:pPr>
            <w:r>
              <w:rPr>
                <w:rFonts w:ascii="宋体" w:hAnsi="宋体" w:cs="宋体" w:hint="eastAsia"/>
                <w:color w:val="000000"/>
                <w:sz w:val="24"/>
              </w:rPr>
              <w:t>50Hz</w:t>
            </w:r>
          </w:p>
        </w:tc>
      </w:tr>
      <w:tr w:rsidR="004E2BDA">
        <w:trPr>
          <w:trHeight w:val="20"/>
        </w:trPr>
        <w:tc>
          <w:tcPr>
            <w:tcW w:w="728"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3</w:t>
            </w:r>
          </w:p>
        </w:tc>
        <w:tc>
          <w:tcPr>
            <w:tcW w:w="2381"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输出功率</w:t>
            </w:r>
          </w:p>
        </w:tc>
        <w:tc>
          <w:tcPr>
            <w:tcW w:w="6095" w:type="dxa"/>
            <w:shd w:val="clear" w:color="auto" w:fill="auto"/>
            <w:vAlign w:val="center"/>
          </w:tcPr>
          <w:p w:rsidR="004E2BDA" w:rsidRDefault="00E47BC7">
            <w:pPr>
              <w:widowControl/>
              <w:jc w:val="left"/>
              <w:rPr>
                <w:rFonts w:ascii="宋体" w:hAnsi="宋体" w:cs="宋体"/>
                <w:color w:val="000000"/>
                <w:sz w:val="24"/>
              </w:rPr>
            </w:pPr>
            <w:r>
              <w:rPr>
                <w:rFonts w:ascii="宋体" w:hAnsi="宋体" w:cs="宋体" w:hint="eastAsia"/>
                <w:color w:val="000000"/>
                <w:sz w:val="24"/>
              </w:rPr>
              <w:t>7kW</w:t>
            </w:r>
          </w:p>
        </w:tc>
      </w:tr>
      <w:tr w:rsidR="004E2BDA">
        <w:trPr>
          <w:trHeight w:val="20"/>
        </w:trPr>
        <w:tc>
          <w:tcPr>
            <w:tcW w:w="728"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4</w:t>
            </w:r>
          </w:p>
        </w:tc>
        <w:tc>
          <w:tcPr>
            <w:tcW w:w="2381"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结构形式</w:t>
            </w:r>
          </w:p>
        </w:tc>
        <w:tc>
          <w:tcPr>
            <w:tcW w:w="6095" w:type="dxa"/>
            <w:shd w:val="clear" w:color="auto" w:fill="auto"/>
            <w:vAlign w:val="center"/>
          </w:tcPr>
          <w:p w:rsidR="004E2BDA" w:rsidRDefault="00E47BC7">
            <w:pPr>
              <w:widowControl/>
              <w:jc w:val="left"/>
              <w:rPr>
                <w:rFonts w:ascii="宋体" w:hAnsi="宋体" w:cs="宋体"/>
                <w:color w:val="000000"/>
                <w:sz w:val="24"/>
              </w:rPr>
            </w:pPr>
            <w:r>
              <w:rPr>
                <w:rFonts w:ascii="宋体" w:hAnsi="宋体" w:cs="宋体" w:hint="eastAsia"/>
                <w:color w:val="000000"/>
                <w:sz w:val="24"/>
              </w:rPr>
              <w:t>一体式单枪</w:t>
            </w:r>
          </w:p>
        </w:tc>
      </w:tr>
      <w:tr w:rsidR="004E2BDA">
        <w:trPr>
          <w:trHeight w:val="20"/>
        </w:trPr>
        <w:tc>
          <w:tcPr>
            <w:tcW w:w="728"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5</w:t>
            </w:r>
          </w:p>
        </w:tc>
        <w:tc>
          <w:tcPr>
            <w:tcW w:w="2381"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最大输出电流</w:t>
            </w:r>
          </w:p>
        </w:tc>
        <w:tc>
          <w:tcPr>
            <w:tcW w:w="6095" w:type="dxa"/>
            <w:shd w:val="clear" w:color="auto" w:fill="auto"/>
            <w:vAlign w:val="center"/>
          </w:tcPr>
          <w:p w:rsidR="004E2BDA" w:rsidRDefault="00E47BC7">
            <w:pPr>
              <w:widowControl/>
              <w:jc w:val="left"/>
              <w:rPr>
                <w:rFonts w:ascii="宋体" w:hAnsi="宋体" w:cs="宋体"/>
                <w:color w:val="000000"/>
                <w:sz w:val="24"/>
              </w:rPr>
            </w:pPr>
            <w:r>
              <w:rPr>
                <w:rFonts w:ascii="宋体" w:hAnsi="宋体" w:cs="宋体" w:hint="eastAsia"/>
                <w:color w:val="000000"/>
                <w:sz w:val="24"/>
              </w:rPr>
              <w:t>0～32A</w:t>
            </w:r>
          </w:p>
        </w:tc>
      </w:tr>
      <w:tr w:rsidR="004E2BDA">
        <w:trPr>
          <w:trHeight w:val="20"/>
        </w:trPr>
        <w:tc>
          <w:tcPr>
            <w:tcW w:w="728"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6</w:t>
            </w:r>
          </w:p>
        </w:tc>
        <w:tc>
          <w:tcPr>
            <w:tcW w:w="2381"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额定频率</w:t>
            </w:r>
          </w:p>
        </w:tc>
        <w:tc>
          <w:tcPr>
            <w:tcW w:w="6095" w:type="dxa"/>
            <w:shd w:val="clear" w:color="auto" w:fill="auto"/>
            <w:vAlign w:val="center"/>
          </w:tcPr>
          <w:p w:rsidR="004E2BDA" w:rsidRDefault="00E47BC7">
            <w:pPr>
              <w:widowControl/>
              <w:jc w:val="left"/>
              <w:rPr>
                <w:rFonts w:ascii="宋体" w:hAnsi="宋体" w:cs="宋体"/>
                <w:color w:val="000000"/>
                <w:sz w:val="24"/>
              </w:rPr>
            </w:pPr>
            <w:r>
              <w:rPr>
                <w:rFonts w:ascii="宋体" w:hAnsi="宋体" w:cs="宋体" w:hint="eastAsia"/>
                <w:color w:val="000000"/>
                <w:sz w:val="24"/>
              </w:rPr>
              <w:t>50Hz</w:t>
            </w:r>
          </w:p>
        </w:tc>
      </w:tr>
      <w:tr w:rsidR="004E2BDA">
        <w:trPr>
          <w:trHeight w:val="20"/>
        </w:trPr>
        <w:tc>
          <w:tcPr>
            <w:tcW w:w="728"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7</w:t>
            </w:r>
          </w:p>
        </w:tc>
        <w:tc>
          <w:tcPr>
            <w:tcW w:w="2381"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待机功耗</w:t>
            </w:r>
          </w:p>
        </w:tc>
        <w:tc>
          <w:tcPr>
            <w:tcW w:w="6095" w:type="dxa"/>
            <w:shd w:val="clear" w:color="auto" w:fill="auto"/>
            <w:vAlign w:val="center"/>
          </w:tcPr>
          <w:p w:rsidR="004E2BDA" w:rsidRDefault="00E47BC7">
            <w:pPr>
              <w:widowControl/>
              <w:jc w:val="left"/>
              <w:rPr>
                <w:rFonts w:ascii="宋体" w:hAnsi="宋体" w:cs="宋体"/>
                <w:color w:val="000000"/>
                <w:sz w:val="24"/>
              </w:rPr>
            </w:pPr>
            <w:r>
              <w:rPr>
                <w:rFonts w:ascii="宋体" w:hAnsi="宋体" w:cs="宋体" w:hint="eastAsia"/>
                <w:color w:val="000000"/>
                <w:sz w:val="24"/>
              </w:rPr>
              <w:t>≤</w:t>
            </w:r>
            <w:r>
              <w:rPr>
                <w:rFonts w:ascii="宋体" w:hAnsi="宋体" w:cs="宋体"/>
                <w:color w:val="000000"/>
                <w:sz w:val="24"/>
              </w:rPr>
              <w:t>3.5</w:t>
            </w:r>
            <w:r>
              <w:rPr>
                <w:rFonts w:ascii="宋体" w:hAnsi="宋体" w:cs="宋体" w:hint="eastAsia"/>
                <w:color w:val="000000"/>
                <w:sz w:val="24"/>
              </w:rPr>
              <w:t>W</w:t>
            </w:r>
          </w:p>
        </w:tc>
      </w:tr>
      <w:tr w:rsidR="004E2BDA">
        <w:trPr>
          <w:trHeight w:val="20"/>
        </w:trPr>
        <w:tc>
          <w:tcPr>
            <w:tcW w:w="728"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8</w:t>
            </w:r>
          </w:p>
        </w:tc>
        <w:tc>
          <w:tcPr>
            <w:tcW w:w="2381"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噪声</w:t>
            </w:r>
          </w:p>
        </w:tc>
        <w:tc>
          <w:tcPr>
            <w:tcW w:w="6095" w:type="dxa"/>
            <w:shd w:val="clear" w:color="auto" w:fill="auto"/>
            <w:vAlign w:val="center"/>
          </w:tcPr>
          <w:p w:rsidR="004E2BDA" w:rsidRDefault="00E47BC7">
            <w:pPr>
              <w:widowControl/>
              <w:jc w:val="left"/>
              <w:rPr>
                <w:rFonts w:ascii="宋体" w:hAnsi="宋体" w:cs="宋体"/>
                <w:color w:val="000000"/>
                <w:sz w:val="24"/>
              </w:rPr>
            </w:pPr>
            <w:r>
              <w:rPr>
                <w:rFonts w:ascii="宋体" w:hAnsi="宋体" w:cs="宋体" w:hint="eastAsia"/>
                <w:color w:val="000000"/>
                <w:sz w:val="24"/>
              </w:rPr>
              <w:t>≤</w:t>
            </w:r>
            <w:r>
              <w:rPr>
                <w:rFonts w:ascii="宋体" w:hAnsi="宋体" w:cs="宋体"/>
                <w:color w:val="000000"/>
                <w:sz w:val="24"/>
              </w:rPr>
              <w:t>3</w:t>
            </w:r>
            <w:r>
              <w:rPr>
                <w:rFonts w:ascii="宋体" w:hAnsi="宋体" w:cs="宋体" w:hint="eastAsia"/>
                <w:color w:val="000000"/>
                <w:sz w:val="24"/>
              </w:rPr>
              <w:t>5dB</w:t>
            </w:r>
          </w:p>
        </w:tc>
      </w:tr>
      <w:tr w:rsidR="004E2BDA">
        <w:trPr>
          <w:trHeight w:val="20"/>
        </w:trPr>
        <w:tc>
          <w:tcPr>
            <w:tcW w:w="728"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9</w:t>
            </w:r>
          </w:p>
        </w:tc>
        <w:tc>
          <w:tcPr>
            <w:tcW w:w="2381"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IP防护等级</w:t>
            </w:r>
          </w:p>
        </w:tc>
        <w:tc>
          <w:tcPr>
            <w:tcW w:w="6095" w:type="dxa"/>
            <w:shd w:val="clear" w:color="auto" w:fill="auto"/>
            <w:vAlign w:val="center"/>
          </w:tcPr>
          <w:p w:rsidR="004E2BDA" w:rsidRDefault="00E47BC7">
            <w:pPr>
              <w:widowControl/>
              <w:jc w:val="left"/>
              <w:rPr>
                <w:rFonts w:ascii="宋体" w:hAnsi="宋体" w:cs="宋体"/>
                <w:color w:val="000000"/>
                <w:sz w:val="24"/>
              </w:rPr>
            </w:pPr>
            <w:r>
              <w:rPr>
                <w:rFonts w:ascii="宋体" w:hAnsi="宋体" w:cs="宋体" w:hint="eastAsia"/>
                <w:color w:val="000000"/>
                <w:sz w:val="24"/>
              </w:rPr>
              <w:t>IP54</w:t>
            </w:r>
          </w:p>
        </w:tc>
      </w:tr>
      <w:tr w:rsidR="004E2BDA">
        <w:trPr>
          <w:trHeight w:val="20"/>
        </w:trPr>
        <w:tc>
          <w:tcPr>
            <w:tcW w:w="728"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0</w:t>
            </w:r>
          </w:p>
        </w:tc>
        <w:tc>
          <w:tcPr>
            <w:tcW w:w="2381"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正常工作温度</w:t>
            </w:r>
          </w:p>
        </w:tc>
        <w:tc>
          <w:tcPr>
            <w:tcW w:w="6095" w:type="dxa"/>
            <w:shd w:val="clear" w:color="auto" w:fill="auto"/>
            <w:vAlign w:val="center"/>
          </w:tcPr>
          <w:p w:rsidR="004E2BDA" w:rsidRDefault="00E47BC7">
            <w:pPr>
              <w:widowControl/>
              <w:jc w:val="left"/>
              <w:rPr>
                <w:rFonts w:ascii="宋体" w:hAnsi="宋体" w:cs="宋体"/>
                <w:color w:val="000000"/>
                <w:sz w:val="24"/>
              </w:rPr>
            </w:pPr>
            <w:r>
              <w:rPr>
                <w:rFonts w:ascii="宋体" w:hAnsi="宋体" w:cs="宋体" w:hint="eastAsia"/>
                <w:color w:val="000000"/>
                <w:sz w:val="24"/>
              </w:rPr>
              <w:t>-20℃至50℃</w:t>
            </w:r>
          </w:p>
        </w:tc>
      </w:tr>
      <w:tr w:rsidR="004E2BDA">
        <w:trPr>
          <w:trHeight w:val="20"/>
        </w:trPr>
        <w:tc>
          <w:tcPr>
            <w:tcW w:w="728"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1</w:t>
            </w:r>
          </w:p>
        </w:tc>
        <w:tc>
          <w:tcPr>
            <w:tcW w:w="2381"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安全保护</w:t>
            </w:r>
          </w:p>
        </w:tc>
        <w:tc>
          <w:tcPr>
            <w:tcW w:w="6095" w:type="dxa"/>
            <w:shd w:val="clear" w:color="auto" w:fill="auto"/>
            <w:vAlign w:val="center"/>
          </w:tcPr>
          <w:p w:rsidR="004E2BDA" w:rsidRDefault="00E47BC7">
            <w:pPr>
              <w:widowControl/>
              <w:jc w:val="left"/>
              <w:rPr>
                <w:rFonts w:ascii="宋体" w:hAnsi="宋体" w:cs="宋体"/>
                <w:color w:val="000000"/>
                <w:sz w:val="24"/>
              </w:rPr>
            </w:pPr>
            <w:r>
              <w:rPr>
                <w:rFonts w:ascii="宋体" w:hAnsi="宋体" w:cs="宋体" w:hint="eastAsia"/>
                <w:color w:val="000000"/>
                <w:sz w:val="24"/>
              </w:rPr>
              <w:t>输出短路保护、急停保护、接触器粘连监测、接触电流、漏电保护</w:t>
            </w:r>
          </w:p>
        </w:tc>
      </w:tr>
      <w:tr w:rsidR="004E2BDA">
        <w:trPr>
          <w:trHeight w:val="20"/>
        </w:trPr>
        <w:tc>
          <w:tcPr>
            <w:tcW w:w="728"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2</w:t>
            </w:r>
          </w:p>
        </w:tc>
        <w:tc>
          <w:tcPr>
            <w:tcW w:w="2381"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枪线长度</w:t>
            </w:r>
          </w:p>
        </w:tc>
        <w:tc>
          <w:tcPr>
            <w:tcW w:w="6095" w:type="dxa"/>
            <w:shd w:val="clear" w:color="auto" w:fill="auto"/>
            <w:vAlign w:val="center"/>
          </w:tcPr>
          <w:p w:rsidR="004E2BDA" w:rsidRDefault="00E47BC7">
            <w:pPr>
              <w:widowControl/>
              <w:jc w:val="left"/>
              <w:rPr>
                <w:rFonts w:ascii="宋体" w:hAnsi="宋体" w:cs="宋体"/>
                <w:color w:val="000000"/>
                <w:sz w:val="24"/>
              </w:rPr>
            </w:pPr>
            <w:r>
              <w:rPr>
                <w:rFonts w:ascii="宋体" w:hAnsi="宋体" w:cs="宋体" w:hint="eastAsia"/>
                <w:color w:val="000000"/>
                <w:sz w:val="24"/>
              </w:rPr>
              <w:t>≥3</w:t>
            </w:r>
            <w:r>
              <w:rPr>
                <w:rFonts w:ascii="宋体" w:hAnsi="宋体" w:cs="宋体"/>
                <w:color w:val="000000"/>
                <w:sz w:val="24"/>
              </w:rPr>
              <w:t>.5m</w:t>
            </w:r>
          </w:p>
        </w:tc>
      </w:tr>
      <w:tr w:rsidR="004E2BDA">
        <w:trPr>
          <w:trHeight w:val="20"/>
        </w:trPr>
        <w:tc>
          <w:tcPr>
            <w:tcW w:w="728"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3</w:t>
            </w:r>
          </w:p>
        </w:tc>
        <w:tc>
          <w:tcPr>
            <w:tcW w:w="2381"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安装方式</w:t>
            </w:r>
          </w:p>
        </w:tc>
        <w:tc>
          <w:tcPr>
            <w:tcW w:w="6095" w:type="dxa"/>
            <w:shd w:val="clear" w:color="auto" w:fill="auto"/>
            <w:vAlign w:val="center"/>
          </w:tcPr>
          <w:p w:rsidR="004E2BDA" w:rsidRDefault="00E47BC7">
            <w:pPr>
              <w:widowControl/>
              <w:jc w:val="left"/>
              <w:rPr>
                <w:rFonts w:ascii="宋体" w:hAnsi="宋体" w:cs="宋体"/>
                <w:color w:val="000000"/>
                <w:sz w:val="24"/>
              </w:rPr>
            </w:pPr>
            <w:r>
              <w:rPr>
                <w:rFonts w:ascii="宋体" w:hAnsi="宋体" w:cs="宋体" w:hint="eastAsia"/>
                <w:color w:val="000000"/>
                <w:sz w:val="24"/>
              </w:rPr>
              <w:t>带方形立柱落地安装</w:t>
            </w:r>
          </w:p>
        </w:tc>
      </w:tr>
      <w:tr w:rsidR="004E2BDA">
        <w:trPr>
          <w:trHeight w:val="20"/>
        </w:trPr>
        <w:tc>
          <w:tcPr>
            <w:tcW w:w="728"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4</w:t>
            </w:r>
          </w:p>
        </w:tc>
        <w:tc>
          <w:tcPr>
            <w:tcW w:w="2381" w:type="dxa"/>
            <w:shd w:val="clear" w:color="auto" w:fill="auto"/>
            <w:vAlign w:val="center"/>
          </w:tcPr>
          <w:p w:rsidR="004E2BDA" w:rsidRDefault="00E47BC7">
            <w:pPr>
              <w:widowControl/>
              <w:jc w:val="center"/>
              <w:rPr>
                <w:rFonts w:ascii="宋体" w:hAnsi="宋体"/>
                <w:color w:val="000000"/>
                <w:sz w:val="24"/>
              </w:rPr>
            </w:pPr>
            <w:r>
              <w:rPr>
                <w:rFonts w:ascii="宋体" w:hAnsi="宋体" w:hint="eastAsia"/>
                <w:color w:val="000000"/>
                <w:sz w:val="24"/>
              </w:rPr>
              <w:t>材质</w:t>
            </w:r>
          </w:p>
        </w:tc>
        <w:tc>
          <w:tcPr>
            <w:tcW w:w="6095" w:type="dxa"/>
            <w:shd w:val="clear" w:color="auto" w:fill="auto"/>
            <w:vAlign w:val="center"/>
          </w:tcPr>
          <w:p w:rsidR="004E2BDA" w:rsidRDefault="00E47BC7">
            <w:pPr>
              <w:jc w:val="left"/>
              <w:rPr>
                <w:rFonts w:ascii="宋体" w:hAnsi="宋体"/>
                <w:color w:val="000000"/>
                <w:sz w:val="24"/>
              </w:rPr>
            </w:pPr>
            <w:r>
              <w:rPr>
                <w:rFonts w:ascii="宋体" w:hAnsi="宋体" w:hint="eastAsia"/>
                <w:color w:val="000000"/>
                <w:sz w:val="24"/>
              </w:rPr>
              <w:t>采用防火等级5VA，UL746C F1级别的PC+ASA材料。</w:t>
            </w:r>
          </w:p>
        </w:tc>
      </w:tr>
      <w:tr w:rsidR="004E2BDA">
        <w:trPr>
          <w:trHeight w:val="20"/>
        </w:trPr>
        <w:tc>
          <w:tcPr>
            <w:tcW w:w="728"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5</w:t>
            </w:r>
          </w:p>
        </w:tc>
        <w:tc>
          <w:tcPr>
            <w:tcW w:w="2381" w:type="dxa"/>
            <w:shd w:val="clear" w:color="auto" w:fill="auto"/>
            <w:vAlign w:val="center"/>
          </w:tcPr>
          <w:p w:rsidR="004E2BDA" w:rsidRDefault="00E47BC7">
            <w:pPr>
              <w:jc w:val="center"/>
              <w:rPr>
                <w:rFonts w:ascii="宋体" w:hAnsi="宋体"/>
                <w:color w:val="000000"/>
                <w:sz w:val="24"/>
              </w:rPr>
            </w:pPr>
            <w:r>
              <w:rPr>
                <w:rFonts w:ascii="宋体" w:hAnsi="宋体" w:hint="eastAsia"/>
                <w:color w:val="000000"/>
                <w:sz w:val="24"/>
              </w:rPr>
              <w:t>绕线功能</w:t>
            </w:r>
          </w:p>
        </w:tc>
        <w:tc>
          <w:tcPr>
            <w:tcW w:w="6095" w:type="dxa"/>
            <w:shd w:val="clear" w:color="auto" w:fill="auto"/>
            <w:vAlign w:val="center"/>
          </w:tcPr>
          <w:p w:rsidR="004E2BDA" w:rsidRDefault="00E47BC7">
            <w:pPr>
              <w:jc w:val="left"/>
              <w:rPr>
                <w:rFonts w:ascii="宋体" w:hAnsi="宋体"/>
                <w:color w:val="000000"/>
                <w:sz w:val="24"/>
              </w:rPr>
            </w:pPr>
            <w:r>
              <w:rPr>
                <w:rFonts w:ascii="宋体" w:hAnsi="宋体" w:hint="eastAsia"/>
                <w:color w:val="000000"/>
                <w:sz w:val="24"/>
              </w:rPr>
              <w:t>充电桩桩体（非立柱）带有绕线功能，无需增加绕线附件；</w:t>
            </w:r>
          </w:p>
        </w:tc>
      </w:tr>
      <w:tr w:rsidR="004E2BDA">
        <w:trPr>
          <w:trHeight w:val="20"/>
        </w:trPr>
        <w:tc>
          <w:tcPr>
            <w:tcW w:w="728"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6</w:t>
            </w:r>
          </w:p>
        </w:tc>
        <w:tc>
          <w:tcPr>
            <w:tcW w:w="2381" w:type="dxa"/>
            <w:shd w:val="clear" w:color="auto" w:fill="auto"/>
            <w:vAlign w:val="center"/>
          </w:tcPr>
          <w:p w:rsidR="004E2BDA" w:rsidRDefault="00E47BC7">
            <w:pPr>
              <w:jc w:val="center"/>
              <w:rPr>
                <w:rFonts w:ascii="宋体" w:hAnsi="宋体"/>
                <w:color w:val="000000"/>
                <w:sz w:val="24"/>
              </w:rPr>
            </w:pPr>
            <w:r>
              <w:rPr>
                <w:rFonts w:ascii="宋体" w:hAnsi="宋体" w:hint="eastAsia"/>
                <w:color w:val="000000"/>
                <w:sz w:val="24"/>
              </w:rPr>
              <w:t>防盗功能</w:t>
            </w:r>
          </w:p>
        </w:tc>
        <w:tc>
          <w:tcPr>
            <w:tcW w:w="6095" w:type="dxa"/>
            <w:shd w:val="clear" w:color="auto" w:fill="auto"/>
            <w:vAlign w:val="center"/>
          </w:tcPr>
          <w:p w:rsidR="004E2BDA" w:rsidRDefault="00E47BC7">
            <w:pPr>
              <w:jc w:val="left"/>
              <w:rPr>
                <w:rFonts w:ascii="宋体" w:hAnsi="宋体"/>
                <w:color w:val="000000"/>
                <w:sz w:val="24"/>
              </w:rPr>
            </w:pPr>
            <w:r>
              <w:rPr>
                <w:rFonts w:ascii="宋体" w:hAnsi="宋体" w:hint="eastAsia"/>
                <w:color w:val="000000"/>
                <w:sz w:val="24"/>
              </w:rPr>
              <w:t>充电桩采用防盗结构设计，桩体表面无螺丝；</w:t>
            </w:r>
          </w:p>
        </w:tc>
      </w:tr>
      <w:tr w:rsidR="004E2BDA">
        <w:trPr>
          <w:trHeight w:val="20"/>
        </w:trPr>
        <w:tc>
          <w:tcPr>
            <w:tcW w:w="728"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lastRenderedPageBreak/>
              <w:t>1</w:t>
            </w:r>
            <w:r>
              <w:rPr>
                <w:rFonts w:ascii="宋体" w:hAnsi="宋体" w:cs="宋体"/>
                <w:color w:val="000000"/>
                <w:sz w:val="24"/>
              </w:rPr>
              <w:t>7</w:t>
            </w:r>
          </w:p>
        </w:tc>
        <w:tc>
          <w:tcPr>
            <w:tcW w:w="2381" w:type="dxa"/>
            <w:shd w:val="clear" w:color="auto" w:fill="auto"/>
            <w:vAlign w:val="center"/>
          </w:tcPr>
          <w:p w:rsidR="004E2BDA" w:rsidRDefault="00E47BC7">
            <w:pPr>
              <w:jc w:val="center"/>
              <w:rPr>
                <w:rFonts w:ascii="宋体" w:hAnsi="宋体"/>
                <w:color w:val="000000"/>
                <w:sz w:val="24"/>
              </w:rPr>
            </w:pPr>
            <w:r>
              <w:rPr>
                <w:rFonts w:ascii="宋体" w:hAnsi="宋体" w:hint="eastAsia"/>
                <w:color w:val="000000"/>
                <w:sz w:val="24"/>
              </w:rPr>
              <w:t>低压调整</w:t>
            </w:r>
          </w:p>
        </w:tc>
        <w:tc>
          <w:tcPr>
            <w:tcW w:w="6095" w:type="dxa"/>
            <w:shd w:val="clear" w:color="auto" w:fill="auto"/>
            <w:vAlign w:val="center"/>
          </w:tcPr>
          <w:p w:rsidR="004E2BDA" w:rsidRDefault="00E47BC7">
            <w:pPr>
              <w:jc w:val="left"/>
              <w:rPr>
                <w:rFonts w:ascii="宋体" w:hAnsi="宋体"/>
                <w:color w:val="000000"/>
                <w:sz w:val="24"/>
              </w:rPr>
            </w:pPr>
            <w:r>
              <w:rPr>
                <w:rFonts w:ascii="宋体" w:hAnsi="宋体" w:hint="eastAsia"/>
                <w:color w:val="000000"/>
                <w:sz w:val="24"/>
              </w:rPr>
              <w:t>充电桩具有低压动态调整功能，降低电压不稳定带来的无法充电问题；</w:t>
            </w:r>
          </w:p>
        </w:tc>
      </w:tr>
      <w:tr w:rsidR="004E2BDA">
        <w:trPr>
          <w:trHeight w:val="20"/>
        </w:trPr>
        <w:tc>
          <w:tcPr>
            <w:tcW w:w="728"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8</w:t>
            </w:r>
          </w:p>
        </w:tc>
        <w:tc>
          <w:tcPr>
            <w:tcW w:w="2381" w:type="dxa"/>
            <w:shd w:val="clear" w:color="auto" w:fill="auto"/>
            <w:vAlign w:val="center"/>
          </w:tcPr>
          <w:p w:rsidR="004E2BDA" w:rsidRDefault="00E47BC7">
            <w:pPr>
              <w:jc w:val="center"/>
              <w:rPr>
                <w:rFonts w:ascii="宋体" w:hAnsi="宋体"/>
                <w:color w:val="000000"/>
                <w:sz w:val="24"/>
              </w:rPr>
            </w:pPr>
            <w:r>
              <w:rPr>
                <w:rFonts w:ascii="宋体" w:hAnsi="宋体" w:hint="eastAsia"/>
                <w:color w:val="000000"/>
                <w:sz w:val="24"/>
              </w:rPr>
              <w:t>温度保护</w:t>
            </w:r>
          </w:p>
        </w:tc>
        <w:tc>
          <w:tcPr>
            <w:tcW w:w="6095" w:type="dxa"/>
            <w:shd w:val="clear" w:color="auto" w:fill="auto"/>
            <w:vAlign w:val="center"/>
          </w:tcPr>
          <w:p w:rsidR="004E2BDA" w:rsidRDefault="00E47BC7">
            <w:pPr>
              <w:jc w:val="left"/>
              <w:rPr>
                <w:rFonts w:ascii="宋体" w:hAnsi="宋体"/>
                <w:color w:val="000000"/>
                <w:sz w:val="24"/>
              </w:rPr>
            </w:pPr>
            <w:r>
              <w:rPr>
                <w:rFonts w:ascii="宋体" w:hAnsi="宋体" w:hint="eastAsia"/>
                <w:color w:val="000000"/>
                <w:sz w:val="24"/>
              </w:rPr>
              <w:t>充电桩采用环境温度和继电器热点的双重温度保护技术</w:t>
            </w:r>
          </w:p>
        </w:tc>
      </w:tr>
    </w:tbl>
    <w:p w:rsidR="004E2BDA" w:rsidRDefault="004E2BDA">
      <w:pPr>
        <w:rPr>
          <w:rFonts w:ascii="宋体" w:hAnsi="宋体"/>
          <w:szCs w:val="22"/>
        </w:rPr>
      </w:pPr>
    </w:p>
    <w:p w:rsidR="004E2BDA" w:rsidRPr="002E5C37" w:rsidRDefault="00677A45">
      <w:pPr>
        <w:keepNext/>
        <w:keepLines/>
        <w:spacing w:before="260" w:after="260" w:line="416" w:lineRule="auto"/>
        <w:outlineLvl w:val="2"/>
        <w:rPr>
          <w:rFonts w:ascii="宋体" w:hAnsi="宋体"/>
          <w:b/>
          <w:bCs/>
          <w:sz w:val="24"/>
          <w:szCs w:val="28"/>
        </w:rPr>
      </w:pPr>
      <w:r>
        <w:rPr>
          <w:rFonts w:ascii="宋体" w:hAnsi="宋体" w:hint="eastAsia"/>
          <w:b/>
          <w:bCs/>
          <w:sz w:val="24"/>
          <w:szCs w:val="28"/>
        </w:rPr>
        <w:t>1</w:t>
      </w:r>
      <w:r w:rsidR="00E47BC7" w:rsidRPr="002E5C37">
        <w:rPr>
          <w:rFonts w:ascii="宋体" w:hAnsi="宋体" w:hint="eastAsia"/>
          <w:b/>
          <w:bCs/>
          <w:sz w:val="24"/>
          <w:szCs w:val="28"/>
        </w:rPr>
        <w:t>.</w:t>
      </w:r>
      <w:r w:rsidR="00E47BC7" w:rsidRPr="002E5C37">
        <w:rPr>
          <w:rFonts w:ascii="宋体" w:hAnsi="宋体"/>
          <w:b/>
          <w:bCs/>
          <w:sz w:val="24"/>
          <w:szCs w:val="28"/>
        </w:rPr>
        <w:t>2</w:t>
      </w:r>
      <w:r w:rsidR="00E47BC7" w:rsidRPr="002E5C37">
        <w:rPr>
          <w:rFonts w:ascii="宋体" w:hAnsi="宋体" w:hint="eastAsia"/>
          <w:b/>
          <w:bCs/>
          <w:sz w:val="24"/>
          <w:szCs w:val="28"/>
        </w:rPr>
        <w:t>功能要求</w:t>
      </w:r>
    </w:p>
    <w:p w:rsidR="004E2BDA" w:rsidRDefault="00677A45">
      <w:pPr>
        <w:keepNext/>
        <w:keepLines/>
        <w:spacing w:before="280" w:after="290" w:line="376" w:lineRule="auto"/>
        <w:outlineLvl w:val="3"/>
        <w:rPr>
          <w:rFonts w:ascii="宋体" w:hAnsi="宋体" w:cstheme="majorBidi"/>
          <w:b/>
          <w:bCs/>
          <w:sz w:val="24"/>
        </w:rPr>
      </w:pPr>
      <w:r>
        <w:rPr>
          <w:rFonts w:ascii="宋体" w:hAnsi="宋体" w:cstheme="majorBidi" w:hint="eastAsia"/>
          <w:b/>
          <w:bCs/>
          <w:sz w:val="24"/>
        </w:rPr>
        <w:t>1</w:t>
      </w:r>
      <w:r w:rsidR="00E47BC7">
        <w:rPr>
          <w:rFonts w:ascii="宋体" w:hAnsi="宋体" w:cstheme="majorBidi" w:hint="eastAsia"/>
          <w:b/>
          <w:bCs/>
          <w:sz w:val="24"/>
        </w:rPr>
        <w:t>.2.1充电设备的充电功能</w:t>
      </w:r>
    </w:p>
    <w:p w:rsidR="004E2BDA" w:rsidRDefault="00E47BC7">
      <w:pPr>
        <w:snapToGrid w:val="0"/>
        <w:spacing w:line="360" w:lineRule="auto"/>
        <w:ind w:firstLineChars="200" w:firstLine="480"/>
        <w:jc w:val="left"/>
        <w:rPr>
          <w:rFonts w:ascii="宋体" w:hAnsi="宋体"/>
          <w:color w:val="000000"/>
          <w:sz w:val="24"/>
        </w:rPr>
      </w:pPr>
      <w:r>
        <w:rPr>
          <w:rFonts w:ascii="宋体" w:hAnsi="宋体" w:hint="eastAsia"/>
          <w:color w:val="000000"/>
          <w:sz w:val="24"/>
        </w:rPr>
        <w:t>充电设备具有为电动汽车安全自动充满电的功能。</w:t>
      </w:r>
    </w:p>
    <w:p w:rsidR="004E2BDA" w:rsidRDefault="00E47BC7">
      <w:pPr>
        <w:snapToGrid w:val="0"/>
        <w:spacing w:line="360" w:lineRule="auto"/>
        <w:ind w:firstLineChars="200" w:firstLine="480"/>
        <w:jc w:val="left"/>
        <w:rPr>
          <w:rFonts w:ascii="宋体" w:hAnsi="宋体"/>
          <w:color w:val="000000"/>
          <w:sz w:val="24"/>
        </w:rPr>
      </w:pPr>
      <w:r>
        <w:rPr>
          <w:rFonts w:ascii="宋体" w:hAnsi="宋体" w:hint="eastAsia"/>
          <w:color w:val="000000"/>
          <w:sz w:val="24"/>
        </w:rPr>
        <w:t>充电启动要具备手机</w:t>
      </w:r>
      <w:r>
        <w:rPr>
          <w:rFonts w:ascii="宋体" w:hAnsi="宋体"/>
          <w:color w:val="000000"/>
          <w:sz w:val="24"/>
        </w:rPr>
        <w:t>APP</w:t>
      </w:r>
      <w:r>
        <w:rPr>
          <w:rFonts w:ascii="宋体" w:hAnsi="宋体" w:hint="eastAsia"/>
          <w:color w:val="000000"/>
          <w:sz w:val="24"/>
        </w:rPr>
        <w:t>启动的功能。</w:t>
      </w:r>
    </w:p>
    <w:p w:rsidR="004E2BDA" w:rsidRDefault="00E47BC7">
      <w:pPr>
        <w:snapToGrid w:val="0"/>
        <w:spacing w:line="360" w:lineRule="auto"/>
        <w:ind w:firstLineChars="200" w:firstLine="480"/>
        <w:jc w:val="left"/>
        <w:rPr>
          <w:rFonts w:ascii="宋体" w:hAnsi="宋体"/>
          <w:color w:val="000000"/>
          <w:sz w:val="24"/>
        </w:rPr>
      </w:pPr>
      <w:r>
        <w:rPr>
          <w:rFonts w:ascii="宋体" w:hAnsi="宋体" w:hint="eastAsia"/>
          <w:color w:val="000000"/>
          <w:sz w:val="24"/>
        </w:rPr>
        <w:t>充电设备支持采用移动端使用状况的查询，便于司机提前根据充电站使用情况，合理安排充电时间。</w:t>
      </w:r>
    </w:p>
    <w:p w:rsidR="004E2BDA" w:rsidRDefault="00677A45">
      <w:pPr>
        <w:keepNext/>
        <w:keepLines/>
        <w:spacing w:before="280" w:after="290" w:line="376" w:lineRule="auto"/>
        <w:outlineLvl w:val="3"/>
        <w:rPr>
          <w:rFonts w:ascii="宋体" w:hAnsi="宋体" w:cstheme="majorBidi"/>
          <w:b/>
          <w:bCs/>
          <w:sz w:val="24"/>
        </w:rPr>
      </w:pPr>
      <w:r>
        <w:rPr>
          <w:rFonts w:ascii="宋体" w:hAnsi="宋体" w:cstheme="majorBidi" w:hint="eastAsia"/>
          <w:b/>
          <w:bCs/>
          <w:sz w:val="24"/>
        </w:rPr>
        <w:t>1</w:t>
      </w:r>
      <w:r w:rsidR="00E47BC7">
        <w:rPr>
          <w:rFonts w:ascii="宋体" w:hAnsi="宋体" w:cstheme="majorBidi" w:hint="eastAsia"/>
          <w:b/>
          <w:bCs/>
          <w:sz w:val="24"/>
        </w:rPr>
        <w:t>.2.2充电设备的保护功能</w:t>
      </w:r>
    </w:p>
    <w:p w:rsidR="004E2BDA" w:rsidRDefault="00E47BC7">
      <w:pPr>
        <w:snapToGrid w:val="0"/>
        <w:spacing w:line="360" w:lineRule="auto"/>
        <w:ind w:firstLineChars="200" w:firstLine="480"/>
        <w:jc w:val="left"/>
        <w:rPr>
          <w:rFonts w:ascii="宋体" w:hAnsi="宋体"/>
          <w:color w:val="000000"/>
          <w:sz w:val="24"/>
        </w:rPr>
      </w:pPr>
      <w:r>
        <w:rPr>
          <w:rFonts w:ascii="宋体" w:hAnsi="宋体" w:hint="eastAsia"/>
          <w:color w:val="000000"/>
          <w:sz w:val="24"/>
        </w:rPr>
        <w:t>充电设备的电源回路应具备带负载可分合的开关电器。</w:t>
      </w:r>
    </w:p>
    <w:p w:rsidR="004E2BDA" w:rsidRDefault="00E47BC7">
      <w:pPr>
        <w:snapToGrid w:val="0"/>
        <w:spacing w:line="360" w:lineRule="auto"/>
        <w:ind w:firstLineChars="200" w:firstLine="480"/>
        <w:jc w:val="left"/>
        <w:rPr>
          <w:rFonts w:ascii="宋体" w:hAnsi="宋体"/>
          <w:color w:val="000000"/>
          <w:sz w:val="24"/>
        </w:rPr>
      </w:pPr>
      <w:r>
        <w:rPr>
          <w:rFonts w:ascii="宋体" w:hAnsi="宋体" w:hint="eastAsia"/>
          <w:color w:val="000000"/>
          <w:sz w:val="24"/>
        </w:rPr>
        <w:t>充电设备的电源回路应安装过载、短路、漏电保护装置。</w:t>
      </w:r>
    </w:p>
    <w:p w:rsidR="004E2BDA" w:rsidRDefault="00E47BC7">
      <w:pPr>
        <w:snapToGrid w:val="0"/>
        <w:spacing w:line="360" w:lineRule="auto"/>
        <w:ind w:firstLineChars="200" w:firstLine="480"/>
        <w:jc w:val="left"/>
        <w:rPr>
          <w:rFonts w:ascii="宋体" w:hAnsi="宋体"/>
          <w:color w:val="000000"/>
          <w:sz w:val="24"/>
        </w:rPr>
      </w:pPr>
      <w:r>
        <w:rPr>
          <w:rFonts w:ascii="宋体" w:hAnsi="宋体" w:hint="eastAsia"/>
          <w:color w:val="000000"/>
          <w:sz w:val="24"/>
        </w:rPr>
        <w:t>充电设备的电源回路应安装防雷装置。</w:t>
      </w:r>
    </w:p>
    <w:p w:rsidR="004E2BDA" w:rsidRDefault="00E47BC7">
      <w:pPr>
        <w:snapToGrid w:val="0"/>
        <w:spacing w:line="360" w:lineRule="auto"/>
        <w:ind w:firstLineChars="200" w:firstLine="480"/>
        <w:jc w:val="left"/>
        <w:rPr>
          <w:rFonts w:ascii="宋体" w:hAnsi="宋体"/>
          <w:color w:val="000000"/>
          <w:sz w:val="24"/>
        </w:rPr>
      </w:pPr>
      <w:r>
        <w:rPr>
          <w:rFonts w:ascii="宋体" w:hAnsi="宋体" w:hint="eastAsia"/>
          <w:color w:val="000000"/>
          <w:sz w:val="24"/>
        </w:rPr>
        <w:t>充电设备应具备急停开关，实现在充电过程中紧急切断输出电源。</w:t>
      </w:r>
    </w:p>
    <w:p w:rsidR="004E2BDA" w:rsidRDefault="00E47BC7">
      <w:pPr>
        <w:snapToGrid w:val="0"/>
        <w:spacing w:line="360" w:lineRule="auto"/>
        <w:ind w:firstLineChars="200" w:firstLine="480"/>
        <w:jc w:val="left"/>
        <w:rPr>
          <w:rFonts w:ascii="宋体" w:hAnsi="宋体"/>
          <w:color w:val="000000"/>
          <w:sz w:val="24"/>
        </w:rPr>
      </w:pPr>
      <w:r>
        <w:rPr>
          <w:rFonts w:ascii="宋体" w:hAnsi="宋体" w:hint="eastAsia"/>
          <w:color w:val="000000"/>
          <w:sz w:val="24"/>
        </w:rPr>
        <w:t>充电设备可自动判断充电连接器和充电电缆是否正确连接，在充电过程中出现连接异常时，充电设备应立即自动切断输出电源。</w:t>
      </w:r>
    </w:p>
    <w:p w:rsidR="004E2BDA" w:rsidRDefault="00E47BC7">
      <w:pPr>
        <w:snapToGrid w:val="0"/>
        <w:spacing w:line="360" w:lineRule="auto"/>
        <w:ind w:firstLineChars="200" w:firstLine="480"/>
        <w:jc w:val="left"/>
        <w:rPr>
          <w:rFonts w:ascii="宋体" w:hAnsi="宋体"/>
          <w:color w:val="000000"/>
          <w:sz w:val="24"/>
        </w:rPr>
      </w:pPr>
      <w:r>
        <w:rPr>
          <w:rFonts w:ascii="宋体" w:hAnsi="宋体" w:hint="eastAsia"/>
          <w:color w:val="000000"/>
          <w:sz w:val="24"/>
        </w:rPr>
        <w:t>在停止充电时，充电设备应保证输出电源回路处于断开状态保证充电枪不带电。</w:t>
      </w:r>
    </w:p>
    <w:p w:rsidR="004E2BDA" w:rsidRDefault="00677A45">
      <w:pPr>
        <w:keepNext/>
        <w:keepLines/>
        <w:spacing w:before="280" w:after="290" w:line="376" w:lineRule="auto"/>
        <w:outlineLvl w:val="3"/>
        <w:rPr>
          <w:rFonts w:ascii="宋体" w:hAnsi="宋体" w:cstheme="majorBidi"/>
          <w:b/>
          <w:bCs/>
          <w:sz w:val="24"/>
        </w:rPr>
      </w:pPr>
      <w:r>
        <w:rPr>
          <w:rFonts w:ascii="宋体" w:hAnsi="宋体" w:cstheme="majorBidi" w:hint="eastAsia"/>
          <w:b/>
          <w:bCs/>
          <w:sz w:val="24"/>
        </w:rPr>
        <w:t>1</w:t>
      </w:r>
      <w:r w:rsidR="00E47BC7">
        <w:rPr>
          <w:rFonts w:ascii="宋体" w:hAnsi="宋体" w:cstheme="majorBidi" w:hint="eastAsia"/>
          <w:b/>
          <w:bCs/>
          <w:sz w:val="24"/>
        </w:rPr>
        <w:t>.2.3充电设备的计量收费功能</w:t>
      </w:r>
    </w:p>
    <w:p w:rsidR="004E2BDA" w:rsidRDefault="00E47BC7">
      <w:pPr>
        <w:snapToGrid w:val="0"/>
        <w:spacing w:line="360" w:lineRule="auto"/>
        <w:ind w:firstLineChars="200" w:firstLine="480"/>
        <w:jc w:val="left"/>
        <w:rPr>
          <w:rFonts w:ascii="宋体" w:hAnsi="宋体"/>
          <w:color w:val="000000"/>
          <w:sz w:val="24"/>
        </w:rPr>
      </w:pPr>
      <w:r>
        <w:rPr>
          <w:rFonts w:ascii="宋体" w:hAnsi="宋体" w:hint="eastAsia"/>
          <w:color w:val="000000"/>
          <w:sz w:val="24"/>
        </w:rPr>
        <w:t>要同时具备微信、支付宝和银联在线等多种缴费方式。</w:t>
      </w:r>
    </w:p>
    <w:p w:rsidR="004E2BDA" w:rsidRDefault="00E47BC7">
      <w:pPr>
        <w:snapToGrid w:val="0"/>
        <w:spacing w:line="360" w:lineRule="auto"/>
        <w:ind w:firstLineChars="200" w:firstLine="480"/>
        <w:jc w:val="left"/>
        <w:rPr>
          <w:rFonts w:ascii="宋体" w:hAnsi="宋体"/>
          <w:color w:val="000000"/>
          <w:sz w:val="24"/>
        </w:rPr>
      </w:pPr>
      <w:r>
        <w:rPr>
          <w:rFonts w:ascii="宋体" w:hAnsi="宋体" w:hint="eastAsia"/>
          <w:color w:val="000000"/>
          <w:sz w:val="24"/>
        </w:rPr>
        <w:t>平台可对设备采集电能表电量数据，手机客户端数据与平台数据同步一致。</w:t>
      </w:r>
    </w:p>
    <w:p w:rsidR="004E2BDA" w:rsidRDefault="00677A45">
      <w:pPr>
        <w:keepNext/>
        <w:keepLines/>
        <w:spacing w:before="280" w:after="290" w:line="376" w:lineRule="auto"/>
        <w:outlineLvl w:val="3"/>
        <w:rPr>
          <w:rFonts w:ascii="宋体" w:hAnsi="宋体" w:cstheme="majorBidi"/>
          <w:b/>
          <w:bCs/>
          <w:sz w:val="24"/>
        </w:rPr>
      </w:pPr>
      <w:r>
        <w:rPr>
          <w:rFonts w:ascii="宋体" w:hAnsi="宋体" w:cstheme="majorBidi" w:hint="eastAsia"/>
          <w:b/>
          <w:bCs/>
          <w:sz w:val="24"/>
        </w:rPr>
        <w:t>1</w:t>
      </w:r>
      <w:r w:rsidR="00E47BC7">
        <w:rPr>
          <w:rFonts w:ascii="宋体" w:hAnsi="宋体" w:cstheme="majorBidi" w:hint="eastAsia"/>
          <w:b/>
          <w:bCs/>
          <w:sz w:val="24"/>
        </w:rPr>
        <w:t>.2.4充电桩的智能功能</w:t>
      </w:r>
    </w:p>
    <w:p w:rsidR="004E2BDA" w:rsidRDefault="00E47BC7">
      <w:pPr>
        <w:snapToGrid w:val="0"/>
        <w:spacing w:line="360" w:lineRule="auto"/>
        <w:ind w:firstLineChars="200" w:firstLine="480"/>
        <w:jc w:val="left"/>
        <w:rPr>
          <w:rFonts w:ascii="宋体" w:hAnsi="宋体"/>
          <w:color w:val="000000"/>
          <w:sz w:val="24"/>
        </w:rPr>
      </w:pPr>
      <w:r>
        <w:rPr>
          <w:rFonts w:ascii="宋体" w:hAnsi="宋体" w:hint="eastAsia"/>
          <w:color w:val="000000"/>
          <w:sz w:val="24"/>
        </w:rPr>
        <w:t>充电桩配置平台联网通讯功能,数据记录与上传功能。主要上传数据项包括充电开始时间、充电结束时间、充电电量、输出电压、输出电流、充电时长、充电设备实时状态（未连接、空闲、充电、故障等）、刷卡信息、电表读数等。</w:t>
      </w:r>
    </w:p>
    <w:p w:rsidR="004E2BDA" w:rsidRDefault="00E47BC7">
      <w:pPr>
        <w:snapToGrid w:val="0"/>
        <w:spacing w:line="360" w:lineRule="auto"/>
        <w:ind w:firstLineChars="200" w:firstLine="480"/>
        <w:jc w:val="left"/>
        <w:rPr>
          <w:rFonts w:ascii="宋体" w:hAnsi="宋体"/>
          <w:color w:val="000000"/>
          <w:sz w:val="24"/>
        </w:rPr>
      </w:pPr>
      <w:r>
        <w:rPr>
          <w:rFonts w:ascii="宋体" w:hAnsi="宋体" w:hint="eastAsia"/>
          <w:color w:val="000000"/>
          <w:sz w:val="24"/>
        </w:rPr>
        <w:t>充电设备应具备故障报警功能。</w:t>
      </w:r>
    </w:p>
    <w:p w:rsidR="004E2BDA" w:rsidRDefault="00677A45">
      <w:pPr>
        <w:keepNext/>
        <w:keepLines/>
        <w:spacing w:before="280" w:after="290" w:line="376" w:lineRule="auto"/>
        <w:outlineLvl w:val="3"/>
        <w:rPr>
          <w:rFonts w:ascii="宋体" w:hAnsi="宋体" w:cstheme="majorBidi"/>
          <w:b/>
          <w:bCs/>
          <w:sz w:val="24"/>
        </w:rPr>
      </w:pPr>
      <w:r>
        <w:rPr>
          <w:rFonts w:ascii="宋体" w:hAnsi="宋体" w:cstheme="majorBidi" w:hint="eastAsia"/>
          <w:b/>
          <w:bCs/>
          <w:sz w:val="24"/>
        </w:rPr>
        <w:lastRenderedPageBreak/>
        <w:t>1</w:t>
      </w:r>
      <w:r w:rsidR="00E47BC7">
        <w:rPr>
          <w:rFonts w:ascii="宋体" w:hAnsi="宋体" w:cstheme="majorBidi" w:hint="eastAsia"/>
          <w:b/>
          <w:bCs/>
          <w:sz w:val="24"/>
        </w:rPr>
        <w:t>.2.5软件升级功能</w:t>
      </w:r>
    </w:p>
    <w:p w:rsidR="004E2BDA" w:rsidRDefault="00E47BC7">
      <w:pPr>
        <w:snapToGrid w:val="0"/>
        <w:spacing w:line="360" w:lineRule="auto"/>
        <w:ind w:firstLineChars="200" w:firstLine="480"/>
        <w:jc w:val="left"/>
        <w:rPr>
          <w:rFonts w:ascii="宋体" w:hAnsi="宋体"/>
          <w:color w:val="000000"/>
          <w:sz w:val="24"/>
        </w:rPr>
      </w:pPr>
      <w:r>
        <w:rPr>
          <w:rFonts w:ascii="宋体" w:hAnsi="宋体" w:hint="eastAsia"/>
          <w:color w:val="000000"/>
          <w:sz w:val="24"/>
        </w:rPr>
        <w:t>设备应具有本地和远程升级功能。</w:t>
      </w:r>
    </w:p>
    <w:p w:rsidR="004E2BDA" w:rsidRDefault="00677A45">
      <w:pPr>
        <w:keepNext/>
        <w:keepLines/>
        <w:spacing w:before="280" w:after="290" w:line="376" w:lineRule="auto"/>
        <w:outlineLvl w:val="3"/>
        <w:rPr>
          <w:rFonts w:ascii="宋体" w:hAnsi="宋体" w:cstheme="majorBidi"/>
          <w:b/>
          <w:bCs/>
          <w:sz w:val="24"/>
        </w:rPr>
      </w:pPr>
      <w:r>
        <w:rPr>
          <w:rFonts w:ascii="宋体" w:hAnsi="宋体" w:cstheme="majorBidi" w:hint="eastAsia"/>
          <w:b/>
          <w:bCs/>
          <w:sz w:val="24"/>
        </w:rPr>
        <w:t>1</w:t>
      </w:r>
      <w:r w:rsidR="00E47BC7">
        <w:rPr>
          <w:rFonts w:ascii="宋体" w:hAnsi="宋体" w:cstheme="majorBidi" w:hint="eastAsia"/>
          <w:b/>
          <w:bCs/>
          <w:sz w:val="24"/>
        </w:rPr>
        <w:t>.2.6充电设备</w:t>
      </w:r>
    </w:p>
    <w:p w:rsidR="004E2BDA" w:rsidRDefault="00E47BC7">
      <w:pPr>
        <w:snapToGrid w:val="0"/>
        <w:spacing w:line="360" w:lineRule="auto"/>
        <w:ind w:firstLineChars="200" w:firstLine="480"/>
        <w:jc w:val="left"/>
        <w:rPr>
          <w:rFonts w:ascii="宋体" w:hAnsi="宋体"/>
          <w:color w:val="000000"/>
          <w:sz w:val="24"/>
        </w:rPr>
      </w:pPr>
      <w:r>
        <w:rPr>
          <w:rFonts w:ascii="宋体" w:hAnsi="宋体" w:hint="eastAsia"/>
          <w:color w:val="000000"/>
          <w:sz w:val="24"/>
        </w:rPr>
        <w:t>设备体应外观线条流畅、整体紧凑、简洁时尚，与安装地点周边环境相协调。</w:t>
      </w:r>
    </w:p>
    <w:p w:rsidR="004E2BDA" w:rsidRDefault="00E47BC7">
      <w:pPr>
        <w:snapToGrid w:val="0"/>
        <w:spacing w:line="360" w:lineRule="auto"/>
        <w:ind w:firstLineChars="200" w:firstLine="480"/>
        <w:jc w:val="left"/>
        <w:rPr>
          <w:rFonts w:ascii="宋体" w:hAnsi="宋体"/>
          <w:color w:val="000000"/>
          <w:sz w:val="24"/>
        </w:rPr>
      </w:pPr>
      <w:r>
        <w:rPr>
          <w:rFonts w:ascii="宋体" w:hAnsi="宋体" w:hint="eastAsia"/>
          <w:color w:val="000000"/>
          <w:sz w:val="24"/>
        </w:rPr>
        <w:t>设备体应具备安装</w:t>
      </w:r>
      <w:r>
        <w:rPr>
          <w:rFonts w:ascii="宋体" w:hAnsi="宋体"/>
          <w:color w:val="000000"/>
          <w:sz w:val="24"/>
        </w:rPr>
        <w:t>2G/3G/4G</w:t>
      </w:r>
      <w:r>
        <w:rPr>
          <w:rFonts w:ascii="宋体" w:hAnsi="宋体" w:hint="eastAsia"/>
          <w:color w:val="000000"/>
          <w:sz w:val="24"/>
        </w:rPr>
        <w:t>通信模块，可以与充电服务运营管理系统建立通讯。</w:t>
      </w:r>
    </w:p>
    <w:p w:rsidR="004E2BDA" w:rsidRDefault="00E47BC7">
      <w:pPr>
        <w:snapToGrid w:val="0"/>
        <w:spacing w:line="360" w:lineRule="auto"/>
        <w:ind w:firstLineChars="200" w:firstLine="480"/>
        <w:jc w:val="left"/>
        <w:rPr>
          <w:rFonts w:ascii="宋体" w:hAnsi="宋体"/>
          <w:color w:val="000000"/>
          <w:sz w:val="24"/>
        </w:rPr>
      </w:pPr>
      <w:r>
        <w:rPr>
          <w:rFonts w:ascii="宋体" w:hAnsi="宋体" w:hint="eastAsia"/>
          <w:color w:val="000000"/>
          <w:sz w:val="24"/>
        </w:rPr>
        <w:t>设备体内部线束，应排布整齐、规整，标识清楚，捆扎牢固。</w:t>
      </w:r>
    </w:p>
    <w:p w:rsidR="004E2BDA" w:rsidRDefault="00E47BC7">
      <w:pPr>
        <w:snapToGrid w:val="0"/>
        <w:spacing w:line="360" w:lineRule="auto"/>
        <w:ind w:firstLineChars="200" w:firstLine="480"/>
        <w:jc w:val="left"/>
        <w:rPr>
          <w:rFonts w:ascii="宋体" w:hAnsi="宋体"/>
          <w:color w:val="000000"/>
          <w:sz w:val="24"/>
        </w:rPr>
      </w:pPr>
      <w:r>
        <w:rPr>
          <w:rFonts w:ascii="宋体" w:hAnsi="宋体" w:hint="eastAsia"/>
          <w:color w:val="000000"/>
          <w:sz w:val="24"/>
        </w:rPr>
        <w:t>设备体内元器件应布局合理，易耗易损元件方便更换。</w:t>
      </w:r>
    </w:p>
    <w:p w:rsidR="004E2BDA" w:rsidRDefault="00E47BC7">
      <w:pPr>
        <w:snapToGrid w:val="0"/>
        <w:spacing w:line="360" w:lineRule="auto"/>
        <w:ind w:firstLineChars="200" w:firstLine="480"/>
        <w:jc w:val="left"/>
        <w:rPr>
          <w:rFonts w:ascii="宋体" w:hAnsi="宋体"/>
          <w:color w:val="000000"/>
          <w:sz w:val="24"/>
        </w:rPr>
      </w:pPr>
      <w:r>
        <w:rPr>
          <w:rFonts w:ascii="宋体" w:hAnsi="宋体" w:hint="eastAsia"/>
          <w:color w:val="000000"/>
          <w:sz w:val="24"/>
        </w:rPr>
        <w:t>设备体安装于户外时，应便于特殊天气条件下的日常维护。</w:t>
      </w:r>
    </w:p>
    <w:p w:rsidR="004E2BDA" w:rsidRDefault="00E47BC7">
      <w:pPr>
        <w:snapToGrid w:val="0"/>
        <w:spacing w:line="360" w:lineRule="auto"/>
        <w:ind w:firstLineChars="200" w:firstLine="480"/>
        <w:jc w:val="left"/>
        <w:rPr>
          <w:rFonts w:ascii="宋体" w:hAnsi="宋体"/>
          <w:color w:val="000000"/>
          <w:sz w:val="24"/>
        </w:rPr>
      </w:pPr>
      <w:r>
        <w:rPr>
          <w:rFonts w:ascii="宋体" w:hAnsi="宋体" w:hint="eastAsia"/>
          <w:color w:val="000000"/>
          <w:sz w:val="24"/>
        </w:rPr>
        <w:t>设备体应采用抗冲击力强、抗老化的材质。</w:t>
      </w:r>
    </w:p>
    <w:p w:rsidR="004E2BDA" w:rsidRDefault="00E47BC7">
      <w:pPr>
        <w:snapToGrid w:val="0"/>
        <w:spacing w:line="360" w:lineRule="auto"/>
        <w:ind w:firstLineChars="200" w:firstLine="480"/>
        <w:jc w:val="left"/>
        <w:rPr>
          <w:rFonts w:ascii="宋体" w:hAnsi="宋体"/>
          <w:color w:val="000000"/>
          <w:sz w:val="24"/>
        </w:rPr>
      </w:pPr>
      <w:r>
        <w:rPr>
          <w:rFonts w:ascii="宋体" w:hAnsi="宋体" w:hint="eastAsia"/>
          <w:color w:val="000000"/>
          <w:sz w:val="24"/>
        </w:rPr>
        <w:t>设备体表面涂覆色泽层应均匀光洁，不起泡、不龟裂、不脱落。</w:t>
      </w:r>
    </w:p>
    <w:p w:rsidR="004E2BDA" w:rsidRDefault="00E47BC7">
      <w:pPr>
        <w:snapToGrid w:val="0"/>
        <w:spacing w:line="360" w:lineRule="auto"/>
        <w:ind w:firstLineChars="200" w:firstLine="480"/>
        <w:jc w:val="left"/>
        <w:rPr>
          <w:rFonts w:ascii="宋体" w:hAnsi="宋体"/>
          <w:color w:val="000000"/>
          <w:sz w:val="24"/>
        </w:rPr>
      </w:pPr>
      <w:r>
        <w:rPr>
          <w:rFonts w:ascii="宋体" w:hAnsi="宋体" w:hint="eastAsia"/>
          <w:color w:val="000000"/>
          <w:sz w:val="24"/>
        </w:rPr>
        <w:t>设备体结构设计及安装应具备防盗能力。</w:t>
      </w:r>
    </w:p>
    <w:p w:rsidR="004E2BDA" w:rsidRDefault="00E47BC7">
      <w:pPr>
        <w:snapToGrid w:val="0"/>
        <w:spacing w:line="360" w:lineRule="auto"/>
        <w:ind w:firstLineChars="200" w:firstLine="480"/>
        <w:jc w:val="left"/>
        <w:rPr>
          <w:rFonts w:ascii="宋体" w:hAnsi="宋体"/>
          <w:color w:val="000000"/>
          <w:sz w:val="24"/>
        </w:rPr>
      </w:pPr>
      <w:r>
        <w:rPr>
          <w:rFonts w:ascii="宋体" w:hAnsi="宋体" w:hint="eastAsia"/>
          <w:color w:val="000000"/>
          <w:sz w:val="24"/>
        </w:rPr>
        <w:t>非绝缘材料外壳应可靠接地，结构上应防止操作人员触及带电部件。</w:t>
      </w:r>
    </w:p>
    <w:p w:rsidR="004E2BDA" w:rsidRDefault="00677A45">
      <w:pPr>
        <w:keepNext/>
        <w:keepLines/>
        <w:spacing w:before="280" w:after="290" w:line="376" w:lineRule="auto"/>
        <w:outlineLvl w:val="3"/>
        <w:rPr>
          <w:rFonts w:ascii="宋体" w:hAnsi="宋体" w:cstheme="majorBidi"/>
          <w:b/>
          <w:bCs/>
          <w:sz w:val="24"/>
        </w:rPr>
      </w:pPr>
      <w:r>
        <w:rPr>
          <w:rFonts w:ascii="宋体" w:hAnsi="宋体" w:cstheme="majorBidi" w:hint="eastAsia"/>
          <w:b/>
          <w:bCs/>
          <w:sz w:val="24"/>
        </w:rPr>
        <w:t>1</w:t>
      </w:r>
      <w:r w:rsidR="00E47BC7">
        <w:rPr>
          <w:rFonts w:ascii="宋体" w:hAnsi="宋体" w:cstheme="majorBidi" w:hint="eastAsia"/>
          <w:b/>
          <w:bCs/>
          <w:sz w:val="24"/>
        </w:rPr>
        <w:t>.2.7结构要求</w:t>
      </w:r>
    </w:p>
    <w:p w:rsidR="004E2BDA" w:rsidRDefault="00E47BC7">
      <w:pPr>
        <w:snapToGrid w:val="0"/>
        <w:spacing w:line="360" w:lineRule="auto"/>
        <w:ind w:firstLineChars="200" w:firstLine="480"/>
        <w:jc w:val="left"/>
        <w:rPr>
          <w:rFonts w:ascii="宋体" w:hAnsi="宋体"/>
          <w:color w:val="000000"/>
          <w:sz w:val="24"/>
        </w:rPr>
      </w:pPr>
      <w:r>
        <w:rPr>
          <w:rFonts w:ascii="宋体" w:hAnsi="宋体" w:hint="eastAsia"/>
          <w:color w:val="000000"/>
          <w:sz w:val="24"/>
        </w:rPr>
        <w:t>设备安装方式选择壁挂式</w:t>
      </w:r>
      <w:r w:rsidR="00AE4010">
        <w:rPr>
          <w:rFonts w:ascii="宋体" w:hAnsi="宋体" w:hint="eastAsia"/>
          <w:color w:val="000000"/>
          <w:sz w:val="24"/>
        </w:rPr>
        <w:t>或</w:t>
      </w:r>
      <w:r>
        <w:rPr>
          <w:rFonts w:ascii="宋体" w:hAnsi="宋体" w:hint="eastAsia"/>
          <w:color w:val="000000"/>
          <w:sz w:val="24"/>
        </w:rPr>
        <w:t>落地式安装，产品安装时，需有厂家专业人员提供现场技术指导。</w:t>
      </w:r>
    </w:p>
    <w:p w:rsidR="004E2BDA" w:rsidRDefault="00677A45">
      <w:pPr>
        <w:keepNext/>
        <w:keepLines/>
        <w:spacing w:before="280" w:after="290" w:line="376" w:lineRule="auto"/>
        <w:outlineLvl w:val="3"/>
        <w:rPr>
          <w:rFonts w:ascii="宋体" w:hAnsi="宋体" w:cstheme="majorBidi"/>
          <w:b/>
          <w:bCs/>
          <w:sz w:val="24"/>
        </w:rPr>
      </w:pPr>
      <w:r>
        <w:rPr>
          <w:rFonts w:ascii="宋体" w:hAnsi="宋体" w:cstheme="majorBidi" w:hint="eastAsia"/>
          <w:b/>
          <w:bCs/>
          <w:sz w:val="24"/>
        </w:rPr>
        <w:t>1</w:t>
      </w:r>
      <w:r w:rsidR="00E47BC7">
        <w:rPr>
          <w:rFonts w:ascii="宋体" w:hAnsi="宋体" w:cstheme="majorBidi" w:hint="eastAsia"/>
          <w:b/>
          <w:bCs/>
          <w:sz w:val="24"/>
        </w:rPr>
        <w:t>.2.8线缆要求</w:t>
      </w:r>
    </w:p>
    <w:p w:rsidR="004E2BDA" w:rsidRDefault="00E47BC7">
      <w:pPr>
        <w:snapToGrid w:val="0"/>
        <w:spacing w:line="360" w:lineRule="auto"/>
        <w:ind w:firstLineChars="200" w:firstLine="480"/>
        <w:jc w:val="left"/>
        <w:rPr>
          <w:rFonts w:ascii="宋体" w:hAnsi="宋体"/>
          <w:color w:val="000000"/>
          <w:sz w:val="24"/>
        </w:rPr>
      </w:pPr>
      <w:r>
        <w:rPr>
          <w:rFonts w:ascii="宋体" w:hAnsi="宋体" w:hint="eastAsia"/>
          <w:color w:val="000000"/>
          <w:sz w:val="24"/>
        </w:rPr>
        <w:t>应能保证相应设备顺利安装和便于日常维护操作。</w:t>
      </w:r>
    </w:p>
    <w:p w:rsidR="004E2BDA" w:rsidRDefault="00E47BC7">
      <w:pPr>
        <w:snapToGrid w:val="0"/>
        <w:spacing w:line="360" w:lineRule="auto"/>
        <w:ind w:firstLineChars="200" w:firstLine="480"/>
        <w:jc w:val="left"/>
        <w:rPr>
          <w:rFonts w:ascii="宋体" w:hAnsi="宋体"/>
          <w:color w:val="000000"/>
          <w:sz w:val="24"/>
        </w:rPr>
      </w:pPr>
      <w:r>
        <w:rPr>
          <w:rFonts w:ascii="宋体" w:hAnsi="宋体" w:hint="eastAsia"/>
          <w:color w:val="000000"/>
          <w:sz w:val="24"/>
        </w:rPr>
        <w:t>应配置进出线留的足够空间。</w:t>
      </w:r>
    </w:p>
    <w:p w:rsidR="004E2BDA" w:rsidRDefault="00E47BC7">
      <w:pPr>
        <w:snapToGrid w:val="0"/>
        <w:spacing w:line="360" w:lineRule="auto"/>
        <w:ind w:firstLineChars="200" w:firstLine="480"/>
        <w:jc w:val="left"/>
        <w:rPr>
          <w:rFonts w:ascii="宋体" w:hAnsi="宋体"/>
          <w:color w:val="000000"/>
          <w:sz w:val="24"/>
        </w:rPr>
      </w:pPr>
      <w:r>
        <w:rPr>
          <w:rFonts w:ascii="宋体" w:hAnsi="宋体" w:hint="eastAsia"/>
          <w:color w:val="000000"/>
          <w:sz w:val="24"/>
        </w:rPr>
        <w:t>应具有配线端子标识的位置。</w:t>
      </w:r>
    </w:p>
    <w:p w:rsidR="004E2BDA" w:rsidRDefault="00E47BC7">
      <w:pPr>
        <w:snapToGrid w:val="0"/>
        <w:spacing w:line="360" w:lineRule="auto"/>
        <w:ind w:firstLineChars="200" w:firstLine="480"/>
        <w:jc w:val="left"/>
        <w:rPr>
          <w:rFonts w:ascii="宋体" w:hAnsi="宋体"/>
          <w:color w:val="000000"/>
          <w:sz w:val="24"/>
        </w:rPr>
      </w:pPr>
      <w:r>
        <w:rPr>
          <w:rFonts w:ascii="宋体" w:hAnsi="宋体" w:hint="eastAsia"/>
          <w:color w:val="000000"/>
          <w:sz w:val="24"/>
        </w:rPr>
        <w:t>过线区应预留足够的过线容量以满足交流充电机满配的接线操作要求。</w:t>
      </w:r>
    </w:p>
    <w:p w:rsidR="004E2BDA" w:rsidRDefault="00E47BC7">
      <w:pPr>
        <w:snapToGrid w:val="0"/>
        <w:spacing w:line="360" w:lineRule="auto"/>
        <w:ind w:firstLineChars="200" w:firstLine="480"/>
        <w:jc w:val="left"/>
        <w:rPr>
          <w:rFonts w:ascii="宋体" w:hAnsi="宋体"/>
          <w:color w:val="000000"/>
          <w:sz w:val="24"/>
        </w:rPr>
      </w:pPr>
      <w:r>
        <w:rPr>
          <w:rFonts w:ascii="宋体" w:hAnsi="宋体" w:hint="eastAsia"/>
          <w:color w:val="000000"/>
          <w:sz w:val="24"/>
        </w:rPr>
        <w:t>过线区应考虑线缆引入、固定和接地时操作的便利性、可更换性和可扩容性，线缆引入孔处应进行密封，防止水和龃齿类动物进入。</w:t>
      </w:r>
    </w:p>
    <w:p w:rsidR="004E2BDA" w:rsidRDefault="00E47BC7">
      <w:pPr>
        <w:snapToGrid w:val="0"/>
        <w:spacing w:line="360" w:lineRule="auto"/>
        <w:ind w:firstLineChars="200" w:firstLine="480"/>
        <w:jc w:val="left"/>
        <w:rPr>
          <w:rFonts w:ascii="宋体" w:hAnsi="宋体"/>
          <w:color w:val="000000"/>
          <w:sz w:val="24"/>
        </w:rPr>
      </w:pPr>
      <w:r>
        <w:rPr>
          <w:rFonts w:ascii="宋体" w:hAnsi="宋体" w:hint="eastAsia"/>
          <w:color w:val="000000"/>
          <w:sz w:val="24"/>
        </w:rPr>
        <w:t>提供一定数量的绑扎线配件，方便绑扎线的基本要求。</w:t>
      </w:r>
    </w:p>
    <w:p w:rsidR="004E2BDA" w:rsidRDefault="00677A45">
      <w:pPr>
        <w:keepNext/>
        <w:keepLines/>
        <w:spacing w:before="280" w:after="290" w:line="376" w:lineRule="auto"/>
        <w:outlineLvl w:val="3"/>
        <w:rPr>
          <w:rFonts w:ascii="宋体" w:hAnsi="宋体" w:cstheme="majorBidi"/>
          <w:b/>
          <w:bCs/>
          <w:sz w:val="24"/>
        </w:rPr>
      </w:pPr>
      <w:r>
        <w:rPr>
          <w:rFonts w:ascii="宋体" w:hAnsi="宋体" w:cstheme="majorBidi" w:hint="eastAsia"/>
          <w:b/>
          <w:bCs/>
          <w:sz w:val="24"/>
        </w:rPr>
        <w:t>1</w:t>
      </w:r>
      <w:r w:rsidR="00E47BC7">
        <w:rPr>
          <w:rFonts w:ascii="宋体" w:hAnsi="宋体" w:cstheme="majorBidi" w:hint="eastAsia"/>
          <w:b/>
          <w:bCs/>
          <w:sz w:val="24"/>
        </w:rPr>
        <w:t>.2.9机械强度要求</w:t>
      </w:r>
    </w:p>
    <w:p w:rsidR="004E2BDA" w:rsidRDefault="00E47BC7">
      <w:pPr>
        <w:snapToGrid w:val="0"/>
        <w:spacing w:line="360" w:lineRule="auto"/>
        <w:ind w:firstLineChars="200" w:firstLine="480"/>
        <w:jc w:val="left"/>
        <w:rPr>
          <w:rFonts w:ascii="宋体" w:hAnsi="宋体"/>
          <w:color w:val="000000"/>
          <w:sz w:val="24"/>
        </w:rPr>
      </w:pPr>
      <w:r>
        <w:rPr>
          <w:rFonts w:ascii="宋体" w:hAnsi="宋体" w:hint="eastAsia"/>
          <w:color w:val="000000"/>
          <w:sz w:val="24"/>
        </w:rPr>
        <w:t>充电设备的壳体在运输或承受冲击载荷后，性能和防护等级应没有降低；不因永久或</w:t>
      </w:r>
      <w:r>
        <w:rPr>
          <w:rFonts w:ascii="宋体" w:hAnsi="宋体" w:hint="eastAsia"/>
          <w:color w:val="000000"/>
          <w:sz w:val="24"/>
        </w:rPr>
        <w:lastRenderedPageBreak/>
        <w:t>暂时变形而使带电部分和外壳相接触，不应破坏国标规定的充电设备电气绝缘性能。</w:t>
      </w:r>
    </w:p>
    <w:p w:rsidR="004E2BDA" w:rsidRPr="002E5C37" w:rsidRDefault="00677A45">
      <w:pPr>
        <w:keepNext/>
        <w:keepLines/>
        <w:spacing w:before="260" w:after="260" w:line="416" w:lineRule="auto"/>
        <w:outlineLvl w:val="2"/>
        <w:rPr>
          <w:rFonts w:ascii="宋体" w:hAnsi="宋体" w:cstheme="majorBidi"/>
          <w:b/>
          <w:bCs/>
        </w:rPr>
      </w:pPr>
      <w:r>
        <w:rPr>
          <w:rFonts w:ascii="宋体" w:hAnsi="宋体" w:hint="eastAsia"/>
          <w:b/>
          <w:bCs/>
          <w:sz w:val="24"/>
          <w:szCs w:val="30"/>
        </w:rPr>
        <w:t>2.</w:t>
      </w:r>
      <w:r w:rsidR="00E47BC7" w:rsidRPr="002E5C37">
        <w:rPr>
          <w:rFonts w:ascii="宋体" w:hAnsi="宋体" w:hint="eastAsia"/>
          <w:b/>
          <w:bCs/>
          <w:sz w:val="24"/>
          <w:szCs w:val="30"/>
        </w:rPr>
        <w:t>直流充电桩技术要求</w:t>
      </w:r>
    </w:p>
    <w:p w:rsidR="004E2BDA" w:rsidRDefault="00677A45">
      <w:pPr>
        <w:keepNext/>
        <w:keepLines/>
        <w:spacing w:before="260" w:after="260" w:line="416" w:lineRule="auto"/>
        <w:outlineLvl w:val="2"/>
        <w:rPr>
          <w:rFonts w:ascii="宋体" w:hAnsi="宋体" w:cstheme="majorBidi"/>
          <w:b/>
          <w:bCs/>
          <w:sz w:val="24"/>
        </w:rPr>
      </w:pPr>
      <w:r>
        <w:rPr>
          <w:rFonts w:ascii="宋体" w:hAnsi="宋体" w:cstheme="majorBidi" w:hint="eastAsia"/>
          <w:b/>
          <w:bCs/>
          <w:sz w:val="24"/>
        </w:rPr>
        <w:t>2</w:t>
      </w:r>
      <w:r w:rsidR="00E47BC7">
        <w:rPr>
          <w:rFonts w:ascii="宋体" w:hAnsi="宋体" w:cstheme="majorBidi" w:hint="eastAsia"/>
          <w:b/>
          <w:bCs/>
          <w:sz w:val="24"/>
        </w:rPr>
        <w:t>.1</w:t>
      </w:r>
      <w:r w:rsidR="00E47BC7">
        <w:rPr>
          <w:rFonts w:ascii="宋体" w:hAnsi="宋体" w:cstheme="majorBidi"/>
          <w:b/>
          <w:bCs/>
          <w:sz w:val="24"/>
        </w:rPr>
        <w:t>一体式直流充电桩</w:t>
      </w:r>
      <w:r w:rsidR="00C0215E">
        <w:rPr>
          <w:rFonts w:ascii="宋体" w:hAnsi="宋体" w:cstheme="majorBidi" w:hint="eastAsia"/>
          <w:b/>
          <w:bCs/>
          <w:sz w:val="24"/>
        </w:rPr>
        <w:t>技术参数要求</w:t>
      </w:r>
      <w:r w:rsidR="00E47BC7">
        <w:rPr>
          <w:rFonts w:ascii="宋体" w:hAnsi="宋体" w:cstheme="majorBidi" w:hint="eastAsia"/>
          <w:b/>
          <w:bCs/>
          <w:sz w:val="24"/>
        </w:rPr>
        <w:t>（</w:t>
      </w:r>
      <w:r w:rsidR="00E47BC7">
        <w:rPr>
          <w:rFonts w:ascii="宋体" w:hAnsi="宋体" w:cs="宋体" w:hint="eastAsia"/>
          <w:b/>
          <w:bCs/>
          <w:szCs w:val="21"/>
        </w:rPr>
        <w:t>注：以下关于重量、尺寸、体积等要求表述为固定数值的允许偏离±2%）</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2716"/>
        <w:gridCol w:w="4939"/>
      </w:tblGrid>
      <w:tr w:rsidR="004E2BDA">
        <w:trPr>
          <w:trHeight w:val="20"/>
          <w:tblHeader/>
        </w:trPr>
        <w:tc>
          <w:tcPr>
            <w:tcW w:w="704"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序号</w:t>
            </w:r>
          </w:p>
        </w:tc>
        <w:tc>
          <w:tcPr>
            <w:tcW w:w="2716"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项目</w:t>
            </w:r>
          </w:p>
        </w:tc>
        <w:tc>
          <w:tcPr>
            <w:tcW w:w="4939"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技术参数</w:t>
            </w:r>
          </w:p>
        </w:tc>
      </w:tr>
      <w:tr w:rsidR="004E2BDA">
        <w:trPr>
          <w:trHeight w:val="20"/>
        </w:trPr>
        <w:tc>
          <w:tcPr>
            <w:tcW w:w="704"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1</w:t>
            </w:r>
          </w:p>
        </w:tc>
        <w:tc>
          <w:tcPr>
            <w:tcW w:w="2716"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额定输入电压</w:t>
            </w:r>
          </w:p>
        </w:tc>
        <w:tc>
          <w:tcPr>
            <w:tcW w:w="4939" w:type="dxa"/>
            <w:shd w:val="clear" w:color="auto" w:fill="auto"/>
            <w:vAlign w:val="center"/>
          </w:tcPr>
          <w:p w:rsidR="004E2BDA" w:rsidRDefault="00E47BC7">
            <w:pPr>
              <w:widowControl/>
              <w:jc w:val="left"/>
              <w:rPr>
                <w:rFonts w:ascii="宋体" w:hAnsi="宋体" w:cs="宋体"/>
                <w:color w:val="000000"/>
                <w:sz w:val="24"/>
              </w:rPr>
            </w:pPr>
            <w:r>
              <w:rPr>
                <w:rFonts w:ascii="宋体" w:hAnsi="宋体" w:cs="宋体" w:hint="eastAsia"/>
                <w:color w:val="000000"/>
                <w:sz w:val="24"/>
              </w:rPr>
              <w:t>三相380V（±15%）AC</w:t>
            </w:r>
          </w:p>
        </w:tc>
      </w:tr>
      <w:tr w:rsidR="004E2BDA">
        <w:trPr>
          <w:trHeight w:val="20"/>
        </w:trPr>
        <w:tc>
          <w:tcPr>
            <w:tcW w:w="704"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2</w:t>
            </w:r>
          </w:p>
        </w:tc>
        <w:tc>
          <w:tcPr>
            <w:tcW w:w="2716"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交流输入频率</w:t>
            </w:r>
          </w:p>
        </w:tc>
        <w:tc>
          <w:tcPr>
            <w:tcW w:w="4939" w:type="dxa"/>
            <w:shd w:val="clear" w:color="auto" w:fill="auto"/>
            <w:vAlign w:val="center"/>
          </w:tcPr>
          <w:p w:rsidR="004E2BDA" w:rsidRDefault="00E47BC7">
            <w:pPr>
              <w:widowControl/>
              <w:rPr>
                <w:rFonts w:ascii="宋体" w:hAnsi="宋体" w:cs="宋体"/>
                <w:color w:val="000000"/>
                <w:sz w:val="24"/>
              </w:rPr>
            </w:pPr>
            <w:r>
              <w:rPr>
                <w:rFonts w:ascii="宋体" w:hAnsi="宋体" w:cs="宋体" w:hint="eastAsia"/>
                <w:color w:val="000000"/>
                <w:sz w:val="24"/>
              </w:rPr>
              <w:t>50Hz±2%</w:t>
            </w:r>
          </w:p>
        </w:tc>
      </w:tr>
      <w:tr w:rsidR="004E2BDA">
        <w:trPr>
          <w:trHeight w:val="20"/>
        </w:trPr>
        <w:tc>
          <w:tcPr>
            <w:tcW w:w="704"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3</w:t>
            </w:r>
          </w:p>
        </w:tc>
        <w:tc>
          <w:tcPr>
            <w:tcW w:w="2716"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输出功率</w:t>
            </w:r>
          </w:p>
        </w:tc>
        <w:tc>
          <w:tcPr>
            <w:tcW w:w="4939" w:type="dxa"/>
            <w:shd w:val="clear" w:color="auto" w:fill="auto"/>
            <w:vAlign w:val="center"/>
          </w:tcPr>
          <w:p w:rsidR="004E2BDA" w:rsidRDefault="00E47BC7">
            <w:pPr>
              <w:widowControl/>
              <w:jc w:val="left"/>
              <w:rPr>
                <w:rFonts w:ascii="宋体" w:hAnsi="宋体" w:cs="宋体"/>
                <w:color w:val="000000"/>
                <w:sz w:val="24"/>
              </w:rPr>
            </w:pPr>
            <w:r>
              <w:rPr>
                <w:rFonts w:ascii="宋体" w:hAnsi="宋体" w:cs="宋体" w:hint="eastAsia"/>
                <w:color w:val="000000"/>
                <w:sz w:val="24"/>
              </w:rPr>
              <w:t>120kW</w:t>
            </w:r>
          </w:p>
        </w:tc>
      </w:tr>
      <w:tr w:rsidR="004E2BDA">
        <w:trPr>
          <w:trHeight w:val="20"/>
        </w:trPr>
        <w:tc>
          <w:tcPr>
            <w:tcW w:w="704"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4</w:t>
            </w:r>
          </w:p>
        </w:tc>
        <w:tc>
          <w:tcPr>
            <w:tcW w:w="2716"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结构形式</w:t>
            </w:r>
          </w:p>
        </w:tc>
        <w:tc>
          <w:tcPr>
            <w:tcW w:w="4939" w:type="dxa"/>
            <w:shd w:val="clear" w:color="auto" w:fill="auto"/>
            <w:vAlign w:val="center"/>
          </w:tcPr>
          <w:p w:rsidR="004E2BDA" w:rsidRDefault="00E47BC7">
            <w:pPr>
              <w:widowControl/>
              <w:jc w:val="left"/>
              <w:rPr>
                <w:rFonts w:ascii="宋体" w:hAnsi="宋体" w:cs="宋体"/>
                <w:color w:val="000000"/>
                <w:sz w:val="24"/>
              </w:rPr>
            </w:pPr>
            <w:r>
              <w:rPr>
                <w:rFonts w:ascii="宋体" w:hAnsi="宋体" w:cs="宋体" w:hint="eastAsia"/>
                <w:color w:val="000000"/>
                <w:sz w:val="24"/>
              </w:rPr>
              <w:t>一体式双枪</w:t>
            </w:r>
          </w:p>
        </w:tc>
      </w:tr>
      <w:tr w:rsidR="004E2BDA">
        <w:trPr>
          <w:trHeight w:val="20"/>
        </w:trPr>
        <w:tc>
          <w:tcPr>
            <w:tcW w:w="704"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5</w:t>
            </w:r>
          </w:p>
        </w:tc>
        <w:tc>
          <w:tcPr>
            <w:tcW w:w="2716"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最大输出电流</w:t>
            </w:r>
          </w:p>
        </w:tc>
        <w:tc>
          <w:tcPr>
            <w:tcW w:w="4939" w:type="dxa"/>
            <w:shd w:val="clear" w:color="auto" w:fill="auto"/>
            <w:vAlign w:val="center"/>
          </w:tcPr>
          <w:p w:rsidR="004E2BDA" w:rsidRDefault="00E47BC7">
            <w:pPr>
              <w:widowControl/>
              <w:jc w:val="left"/>
              <w:rPr>
                <w:rFonts w:ascii="宋体" w:hAnsi="宋体" w:cs="宋体"/>
                <w:color w:val="000000"/>
                <w:sz w:val="24"/>
              </w:rPr>
            </w:pPr>
            <w:r>
              <w:rPr>
                <w:rFonts w:ascii="宋体" w:hAnsi="宋体" w:cs="宋体" w:hint="eastAsia"/>
                <w:color w:val="000000"/>
                <w:sz w:val="24"/>
              </w:rPr>
              <w:t>单枪最大250A</w:t>
            </w:r>
          </w:p>
        </w:tc>
      </w:tr>
      <w:tr w:rsidR="004E2BDA">
        <w:trPr>
          <w:trHeight w:val="20"/>
        </w:trPr>
        <w:tc>
          <w:tcPr>
            <w:tcW w:w="704"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6</w:t>
            </w:r>
          </w:p>
        </w:tc>
        <w:tc>
          <w:tcPr>
            <w:tcW w:w="2716"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充电模块</w:t>
            </w:r>
          </w:p>
        </w:tc>
        <w:tc>
          <w:tcPr>
            <w:tcW w:w="4939" w:type="dxa"/>
            <w:shd w:val="clear" w:color="auto" w:fill="auto"/>
            <w:vAlign w:val="center"/>
          </w:tcPr>
          <w:p w:rsidR="004E2BDA" w:rsidRDefault="00E47BC7">
            <w:pPr>
              <w:widowControl/>
              <w:jc w:val="left"/>
              <w:rPr>
                <w:rFonts w:ascii="宋体" w:hAnsi="宋体" w:cs="宋体"/>
                <w:color w:val="000000"/>
                <w:sz w:val="24"/>
              </w:rPr>
            </w:pPr>
            <w:r>
              <w:rPr>
                <w:rFonts w:ascii="宋体" w:hAnsi="宋体" w:cs="宋体" w:hint="eastAsia"/>
                <w:color w:val="000000"/>
                <w:sz w:val="24"/>
              </w:rPr>
              <w:t>≥</w:t>
            </w:r>
            <w:r>
              <w:rPr>
                <w:rFonts w:ascii="宋体" w:hAnsi="宋体" w:cs="宋体"/>
                <w:color w:val="000000"/>
                <w:sz w:val="24"/>
              </w:rPr>
              <w:t>2</w:t>
            </w:r>
            <w:r>
              <w:rPr>
                <w:rFonts w:ascii="宋体" w:hAnsi="宋体" w:cs="宋体" w:hint="eastAsia"/>
                <w:color w:val="000000"/>
                <w:sz w:val="24"/>
              </w:rPr>
              <w:t>0KW</w:t>
            </w:r>
          </w:p>
        </w:tc>
      </w:tr>
      <w:tr w:rsidR="004E2BDA">
        <w:trPr>
          <w:trHeight w:val="20"/>
        </w:trPr>
        <w:tc>
          <w:tcPr>
            <w:tcW w:w="704"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7</w:t>
            </w:r>
          </w:p>
        </w:tc>
        <w:tc>
          <w:tcPr>
            <w:tcW w:w="2716"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额定频率</w:t>
            </w:r>
          </w:p>
        </w:tc>
        <w:tc>
          <w:tcPr>
            <w:tcW w:w="4939" w:type="dxa"/>
            <w:shd w:val="clear" w:color="auto" w:fill="auto"/>
            <w:vAlign w:val="center"/>
          </w:tcPr>
          <w:p w:rsidR="004E2BDA" w:rsidRDefault="00E47BC7">
            <w:pPr>
              <w:widowControl/>
              <w:jc w:val="left"/>
              <w:rPr>
                <w:rFonts w:ascii="宋体" w:hAnsi="宋体" w:cs="宋体"/>
                <w:color w:val="000000"/>
                <w:sz w:val="24"/>
              </w:rPr>
            </w:pPr>
            <w:r>
              <w:rPr>
                <w:rFonts w:ascii="宋体" w:hAnsi="宋体" w:cs="宋体" w:hint="eastAsia"/>
                <w:color w:val="000000"/>
                <w:sz w:val="24"/>
              </w:rPr>
              <w:t>50Hz±2%</w:t>
            </w:r>
          </w:p>
        </w:tc>
      </w:tr>
      <w:tr w:rsidR="004E2BDA">
        <w:trPr>
          <w:trHeight w:val="20"/>
        </w:trPr>
        <w:tc>
          <w:tcPr>
            <w:tcW w:w="704"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8</w:t>
            </w:r>
          </w:p>
        </w:tc>
        <w:tc>
          <w:tcPr>
            <w:tcW w:w="2716"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标称输出电压</w:t>
            </w:r>
          </w:p>
        </w:tc>
        <w:tc>
          <w:tcPr>
            <w:tcW w:w="4939" w:type="dxa"/>
            <w:shd w:val="clear" w:color="auto" w:fill="auto"/>
            <w:vAlign w:val="center"/>
          </w:tcPr>
          <w:p w:rsidR="004E2BDA" w:rsidRDefault="00E47BC7">
            <w:pPr>
              <w:widowControl/>
              <w:jc w:val="left"/>
              <w:rPr>
                <w:rFonts w:ascii="宋体" w:hAnsi="宋体" w:cs="宋体"/>
                <w:color w:val="000000"/>
                <w:sz w:val="24"/>
              </w:rPr>
            </w:pPr>
            <w:r>
              <w:rPr>
                <w:rFonts w:ascii="宋体" w:hAnsi="宋体" w:cs="宋体" w:hint="eastAsia"/>
                <w:color w:val="000000"/>
                <w:sz w:val="24"/>
              </w:rPr>
              <w:t>200V-</w:t>
            </w:r>
            <w:r>
              <w:rPr>
                <w:rFonts w:ascii="宋体" w:hAnsi="宋体" w:cs="宋体"/>
                <w:color w:val="000000"/>
                <w:sz w:val="24"/>
              </w:rPr>
              <w:t>100</w:t>
            </w:r>
            <w:r>
              <w:rPr>
                <w:rFonts w:ascii="宋体" w:hAnsi="宋体" w:cs="宋体" w:hint="eastAsia"/>
                <w:color w:val="000000"/>
                <w:sz w:val="24"/>
              </w:rPr>
              <w:t>0V，连续不间断</w:t>
            </w:r>
          </w:p>
        </w:tc>
      </w:tr>
      <w:tr w:rsidR="004E2BDA">
        <w:trPr>
          <w:trHeight w:val="20"/>
        </w:trPr>
        <w:tc>
          <w:tcPr>
            <w:tcW w:w="704"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9</w:t>
            </w:r>
          </w:p>
        </w:tc>
        <w:tc>
          <w:tcPr>
            <w:tcW w:w="2716"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恒功率输出范围</w:t>
            </w:r>
          </w:p>
        </w:tc>
        <w:tc>
          <w:tcPr>
            <w:tcW w:w="4939" w:type="dxa"/>
            <w:shd w:val="clear" w:color="auto" w:fill="auto"/>
            <w:vAlign w:val="center"/>
          </w:tcPr>
          <w:p w:rsidR="004E2BDA" w:rsidRDefault="00E47BC7">
            <w:pPr>
              <w:widowControl/>
              <w:jc w:val="left"/>
              <w:rPr>
                <w:rFonts w:ascii="宋体" w:hAnsi="宋体" w:cs="宋体"/>
                <w:color w:val="000000"/>
                <w:sz w:val="24"/>
              </w:rPr>
            </w:pPr>
            <w:r>
              <w:rPr>
                <w:rFonts w:ascii="宋体" w:hAnsi="宋体" w:cs="宋体" w:hint="eastAsia"/>
                <w:color w:val="000000"/>
                <w:sz w:val="24"/>
              </w:rPr>
              <w:t>300V-</w:t>
            </w:r>
            <w:r>
              <w:rPr>
                <w:rFonts w:ascii="宋体" w:hAnsi="宋体" w:cs="宋体"/>
                <w:color w:val="000000"/>
                <w:sz w:val="24"/>
              </w:rPr>
              <w:t>100</w:t>
            </w:r>
            <w:r>
              <w:rPr>
                <w:rFonts w:ascii="宋体" w:hAnsi="宋体" w:cs="宋体" w:hint="eastAsia"/>
                <w:color w:val="000000"/>
                <w:sz w:val="24"/>
              </w:rPr>
              <w:t>0V，连续不间断</w:t>
            </w:r>
          </w:p>
        </w:tc>
      </w:tr>
      <w:tr w:rsidR="004E2BDA">
        <w:trPr>
          <w:trHeight w:val="20"/>
        </w:trPr>
        <w:tc>
          <w:tcPr>
            <w:tcW w:w="704"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10</w:t>
            </w:r>
          </w:p>
        </w:tc>
        <w:tc>
          <w:tcPr>
            <w:tcW w:w="2716"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低压辅助电源误差</w:t>
            </w:r>
          </w:p>
        </w:tc>
        <w:tc>
          <w:tcPr>
            <w:tcW w:w="4939" w:type="dxa"/>
            <w:shd w:val="clear" w:color="auto" w:fill="auto"/>
            <w:vAlign w:val="center"/>
          </w:tcPr>
          <w:p w:rsidR="004E2BDA" w:rsidRDefault="00E47BC7">
            <w:pPr>
              <w:widowControl/>
              <w:jc w:val="left"/>
              <w:rPr>
                <w:rFonts w:ascii="宋体" w:hAnsi="宋体" w:cs="宋体"/>
                <w:color w:val="000000"/>
                <w:sz w:val="24"/>
              </w:rPr>
            </w:pPr>
            <w:r>
              <w:rPr>
                <w:rFonts w:ascii="宋体" w:hAnsi="宋体" w:cs="宋体" w:hint="eastAsia"/>
                <w:color w:val="000000"/>
                <w:sz w:val="24"/>
              </w:rPr>
              <w:t>≤±0.6V</w:t>
            </w:r>
          </w:p>
        </w:tc>
      </w:tr>
      <w:tr w:rsidR="004E2BDA">
        <w:trPr>
          <w:trHeight w:val="20"/>
        </w:trPr>
        <w:tc>
          <w:tcPr>
            <w:tcW w:w="704"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11</w:t>
            </w:r>
          </w:p>
        </w:tc>
        <w:tc>
          <w:tcPr>
            <w:tcW w:w="2716"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稳流精度</w:t>
            </w:r>
          </w:p>
        </w:tc>
        <w:tc>
          <w:tcPr>
            <w:tcW w:w="4939" w:type="dxa"/>
            <w:shd w:val="clear" w:color="auto" w:fill="auto"/>
            <w:vAlign w:val="center"/>
          </w:tcPr>
          <w:p w:rsidR="004E2BDA" w:rsidRDefault="00E47BC7">
            <w:pPr>
              <w:widowControl/>
              <w:jc w:val="left"/>
              <w:rPr>
                <w:rFonts w:ascii="宋体" w:hAnsi="宋体" w:cs="宋体"/>
                <w:color w:val="000000"/>
                <w:sz w:val="24"/>
              </w:rPr>
            </w:pPr>
            <w:r>
              <w:rPr>
                <w:rFonts w:ascii="宋体" w:hAnsi="宋体" w:cs="宋体" w:hint="eastAsia"/>
                <w:color w:val="000000"/>
                <w:sz w:val="24"/>
              </w:rPr>
              <w:t>≤±</w:t>
            </w:r>
            <w:r>
              <w:rPr>
                <w:rFonts w:ascii="宋体" w:hAnsi="宋体" w:cs="宋体"/>
                <w:color w:val="000000"/>
                <w:sz w:val="24"/>
              </w:rPr>
              <w:t>0.3</w:t>
            </w:r>
            <w:r>
              <w:rPr>
                <w:rFonts w:ascii="宋体" w:hAnsi="宋体" w:cs="宋体" w:hint="eastAsia"/>
                <w:color w:val="000000"/>
                <w:sz w:val="24"/>
              </w:rPr>
              <w:t>%；</w:t>
            </w:r>
          </w:p>
        </w:tc>
      </w:tr>
      <w:tr w:rsidR="004E2BDA">
        <w:trPr>
          <w:trHeight w:val="20"/>
        </w:trPr>
        <w:tc>
          <w:tcPr>
            <w:tcW w:w="704"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12</w:t>
            </w:r>
          </w:p>
        </w:tc>
        <w:tc>
          <w:tcPr>
            <w:tcW w:w="2716"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稳压精度</w:t>
            </w:r>
          </w:p>
        </w:tc>
        <w:tc>
          <w:tcPr>
            <w:tcW w:w="4939" w:type="dxa"/>
            <w:shd w:val="clear" w:color="auto" w:fill="auto"/>
            <w:vAlign w:val="center"/>
          </w:tcPr>
          <w:p w:rsidR="004E2BDA" w:rsidRDefault="00E47BC7">
            <w:pPr>
              <w:widowControl/>
              <w:jc w:val="left"/>
              <w:rPr>
                <w:rFonts w:ascii="宋体" w:hAnsi="宋体" w:cs="宋体"/>
                <w:color w:val="000000"/>
                <w:sz w:val="24"/>
              </w:rPr>
            </w:pPr>
            <w:r>
              <w:rPr>
                <w:rFonts w:ascii="宋体" w:hAnsi="宋体" w:cs="宋体" w:hint="eastAsia"/>
                <w:color w:val="000000"/>
                <w:sz w:val="24"/>
              </w:rPr>
              <w:t>≤±0.</w:t>
            </w:r>
            <w:r>
              <w:rPr>
                <w:rFonts w:ascii="宋体" w:hAnsi="宋体" w:cs="宋体"/>
                <w:color w:val="000000"/>
                <w:sz w:val="24"/>
              </w:rPr>
              <w:t>5</w:t>
            </w:r>
            <w:r>
              <w:rPr>
                <w:rFonts w:ascii="宋体" w:hAnsi="宋体" w:cs="宋体" w:hint="eastAsia"/>
                <w:color w:val="000000"/>
                <w:sz w:val="24"/>
              </w:rPr>
              <w:t>%</w:t>
            </w:r>
          </w:p>
        </w:tc>
      </w:tr>
      <w:tr w:rsidR="004E2BDA">
        <w:trPr>
          <w:trHeight w:val="20"/>
        </w:trPr>
        <w:tc>
          <w:tcPr>
            <w:tcW w:w="704"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13</w:t>
            </w:r>
          </w:p>
        </w:tc>
        <w:tc>
          <w:tcPr>
            <w:tcW w:w="2716"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电压纹波因数检验纹波峰值系数</w:t>
            </w:r>
          </w:p>
        </w:tc>
        <w:tc>
          <w:tcPr>
            <w:tcW w:w="4939" w:type="dxa"/>
            <w:shd w:val="clear" w:color="auto" w:fill="auto"/>
            <w:vAlign w:val="center"/>
          </w:tcPr>
          <w:p w:rsidR="004E2BDA" w:rsidRDefault="00E47BC7">
            <w:pPr>
              <w:widowControl/>
              <w:jc w:val="left"/>
              <w:rPr>
                <w:rFonts w:ascii="宋体" w:hAnsi="宋体" w:cs="宋体"/>
                <w:color w:val="000000"/>
                <w:sz w:val="24"/>
              </w:rPr>
            </w:pPr>
            <w:r>
              <w:rPr>
                <w:rFonts w:ascii="宋体" w:hAnsi="宋体" w:cs="宋体" w:hint="eastAsia"/>
                <w:color w:val="000000"/>
                <w:sz w:val="24"/>
              </w:rPr>
              <w:t>≤</w:t>
            </w:r>
            <w:r>
              <w:rPr>
                <w:rFonts w:ascii="宋体" w:hAnsi="宋体" w:cs="宋体"/>
                <w:color w:val="000000"/>
                <w:sz w:val="24"/>
              </w:rPr>
              <w:t>1</w:t>
            </w:r>
            <w:r>
              <w:rPr>
                <w:rFonts w:ascii="宋体" w:hAnsi="宋体" w:cs="宋体" w:hint="eastAsia"/>
                <w:color w:val="000000"/>
                <w:sz w:val="24"/>
              </w:rPr>
              <w:t>%</w:t>
            </w:r>
          </w:p>
        </w:tc>
      </w:tr>
      <w:tr w:rsidR="004E2BDA">
        <w:trPr>
          <w:trHeight w:val="20"/>
        </w:trPr>
        <w:tc>
          <w:tcPr>
            <w:tcW w:w="704"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14</w:t>
            </w:r>
          </w:p>
        </w:tc>
        <w:tc>
          <w:tcPr>
            <w:tcW w:w="2716"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输出电流设定误差</w:t>
            </w:r>
          </w:p>
        </w:tc>
        <w:tc>
          <w:tcPr>
            <w:tcW w:w="4939" w:type="dxa"/>
            <w:shd w:val="clear" w:color="auto" w:fill="auto"/>
            <w:vAlign w:val="center"/>
          </w:tcPr>
          <w:p w:rsidR="004E2BDA" w:rsidRDefault="00E47BC7">
            <w:pPr>
              <w:widowControl/>
              <w:jc w:val="left"/>
              <w:rPr>
                <w:rFonts w:ascii="宋体" w:hAnsi="宋体" w:cs="宋体"/>
                <w:color w:val="000000"/>
                <w:sz w:val="24"/>
              </w:rPr>
            </w:pPr>
            <w:r>
              <w:rPr>
                <w:rFonts w:ascii="宋体" w:hAnsi="宋体" w:cs="宋体" w:hint="eastAsia"/>
                <w:color w:val="000000"/>
                <w:sz w:val="24"/>
              </w:rPr>
              <w:t>电流＜30A时，≤±0.</w:t>
            </w:r>
            <w:r>
              <w:rPr>
                <w:rFonts w:ascii="宋体" w:hAnsi="宋体" w:cs="宋体"/>
                <w:color w:val="000000"/>
                <w:sz w:val="24"/>
              </w:rPr>
              <w:t>3</w:t>
            </w:r>
            <w:r>
              <w:rPr>
                <w:rFonts w:ascii="宋体" w:hAnsi="宋体" w:cs="宋体" w:hint="eastAsia"/>
                <w:color w:val="000000"/>
                <w:sz w:val="24"/>
              </w:rPr>
              <w:t>A；电流≥30A时，≤±</w:t>
            </w:r>
            <w:r>
              <w:rPr>
                <w:rFonts w:ascii="宋体" w:hAnsi="宋体" w:cs="宋体"/>
                <w:color w:val="000000"/>
                <w:sz w:val="24"/>
              </w:rPr>
              <w:t>0.3</w:t>
            </w:r>
            <w:r>
              <w:rPr>
                <w:rFonts w:ascii="宋体" w:hAnsi="宋体" w:cs="宋体" w:hint="eastAsia"/>
                <w:color w:val="000000"/>
                <w:sz w:val="24"/>
              </w:rPr>
              <w:t>%；</w:t>
            </w:r>
          </w:p>
        </w:tc>
      </w:tr>
      <w:tr w:rsidR="004E2BDA">
        <w:trPr>
          <w:trHeight w:val="20"/>
        </w:trPr>
        <w:tc>
          <w:tcPr>
            <w:tcW w:w="704"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15</w:t>
            </w:r>
          </w:p>
        </w:tc>
        <w:tc>
          <w:tcPr>
            <w:tcW w:w="2716"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输出电压设定误差</w:t>
            </w:r>
          </w:p>
        </w:tc>
        <w:tc>
          <w:tcPr>
            <w:tcW w:w="4939" w:type="dxa"/>
            <w:shd w:val="clear" w:color="auto" w:fill="auto"/>
            <w:vAlign w:val="center"/>
          </w:tcPr>
          <w:p w:rsidR="004E2BDA" w:rsidRDefault="00E47BC7">
            <w:pPr>
              <w:widowControl/>
              <w:jc w:val="left"/>
              <w:rPr>
                <w:rFonts w:ascii="宋体" w:hAnsi="宋体" w:cs="宋体"/>
                <w:color w:val="000000"/>
                <w:sz w:val="24"/>
              </w:rPr>
            </w:pPr>
            <w:r>
              <w:rPr>
                <w:rFonts w:ascii="宋体" w:hAnsi="宋体" w:cs="宋体" w:hint="eastAsia"/>
                <w:color w:val="000000"/>
                <w:sz w:val="24"/>
              </w:rPr>
              <w:t>≤±0.</w:t>
            </w:r>
            <w:r>
              <w:rPr>
                <w:rFonts w:ascii="宋体" w:hAnsi="宋体" w:cs="宋体"/>
                <w:color w:val="000000"/>
                <w:sz w:val="24"/>
              </w:rPr>
              <w:t>5</w:t>
            </w:r>
            <w:r>
              <w:rPr>
                <w:rFonts w:ascii="宋体" w:hAnsi="宋体" w:cs="宋体" w:hint="eastAsia"/>
                <w:color w:val="000000"/>
                <w:sz w:val="24"/>
              </w:rPr>
              <w:t>%</w:t>
            </w:r>
          </w:p>
        </w:tc>
      </w:tr>
      <w:tr w:rsidR="004E2BDA">
        <w:trPr>
          <w:trHeight w:val="20"/>
        </w:trPr>
        <w:tc>
          <w:tcPr>
            <w:tcW w:w="704"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16</w:t>
            </w:r>
          </w:p>
        </w:tc>
        <w:tc>
          <w:tcPr>
            <w:tcW w:w="2716"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综合效率</w:t>
            </w:r>
          </w:p>
        </w:tc>
        <w:tc>
          <w:tcPr>
            <w:tcW w:w="4939" w:type="dxa"/>
            <w:shd w:val="clear" w:color="auto" w:fill="auto"/>
            <w:vAlign w:val="center"/>
          </w:tcPr>
          <w:p w:rsidR="004E2BDA" w:rsidRDefault="00E47BC7">
            <w:pPr>
              <w:widowControl/>
              <w:jc w:val="left"/>
              <w:rPr>
                <w:rFonts w:ascii="宋体" w:hAnsi="宋体" w:cs="宋体"/>
                <w:color w:val="000000"/>
                <w:sz w:val="24"/>
              </w:rPr>
            </w:pPr>
            <w:r>
              <w:rPr>
                <w:rFonts w:ascii="宋体" w:hAnsi="宋体" w:cs="宋体" w:hint="eastAsia"/>
                <w:color w:val="000000"/>
                <w:sz w:val="24"/>
              </w:rPr>
              <w:t>输出功率20%≤P≤50%时，工作效率≥</w:t>
            </w:r>
            <w:r>
              <w:rPr>
                <w:rFonts w:ascii="宋体" w:hAnsi="宋体" w:cs="宋体"/>
                <w:color w:val="000000"/>
                <w:sz w:val="24"/>
              </w:rPr>
              <w:t>92</w:t>
            </w:r>
            <w:r>
              <w:rPr>
                <w:rFonts w:ascii="宋体" w:hAnsi="宋体" w:cs="宋体" w:hint="eastAsia"/>
                <w:color w:val="000000"/>
                <w:sz w:val="24"/>
              </w:rPr>
              <w:t>%；</w:t>
            </w:r>
          </w:p>
          <w:p w:rsidR="004E2BDA" w:rsidRDefault="00E47BC7">
            <w:pPr>
              <w:widowControl/>
              <w:jc w:val="left"/>
              <w:rPr>
                <w:rFonts w:ascii="宋体" w:hAnsi="宋体" w:cs="宋体"/>
                <w:color w:val="000000"/>
                <w:sz w:val="24"/>
              </w:rPr>
            </w:pPr>
            <w:r>
              <w:rPr>
                <w:rFonts w:ascii="宋体" w:hAnsi="宋体" w:cs="宋体" w:hint="eastAsia"/>
                <w:color w:val="000000"/>
                <w:sz w:val="24"/>
              </w:rPr>
              <w:t>输出功率50%＜P≤100%时，工作效率≥9</w:t>
            </w:r>
            <w:r>
              <w:rPr>
                <w:rFonts w:ascii="宋体" w:hAnsi="宋体" w:cs="宋体"/>
                <w:color w:val="000000"/>
                <w:sz w:val="24"/>
              </w:rPr>
              <w:t>4</w:t>
            </w:r>
            <w:r>
              <w:rPr>
                <w:rFonts w:ascii="宋体" w:hAnsi="宋体" w:cs="宋体" w:hint="eastAsia"/>
                <w:color w:val="000000"/>
                <w:sz w:val="24"/>
              </w:rPr>
              <w:t>%</w:t>
            </w:r>
          </w:p>
        </w:tc>
      </w:tr>
      <w:tr w:rsidR="004E2BDA">
        <w:trPr>
          <w:trHeight w:val="20"/>
        </w:trPr>
        <w:tc>
          <w:tcPr>
            <w:tcW w:w="704"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17</w:t>
            </w:r>
          </w:p>
        </w:tc>
        <w:tc>
          <w:tcPr>
            <w:tcW w:w="2716"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功率因数</w:t>
            </w:r>
          </w:p>
        </w:tc>
        <w:tc>
          <w:tcPr>
            <w:tcW w:w="4939" w:type="dxa"/>
            <w:shd w:val="clear" w:color="auto" w:fill="auto"/>
            <w:vAlign w:val="center"/>
          </w:tcPr>
          <w:p w:rsidR="004E2BDA" w:rsidRDefault="00E47BC7">
            <w:pPr>
              <w:widowControl/>
              <w:rPr>
                <w:rFonts w:ascii="宋体" w:hAnsi="宋体" w:cs="宋体"/>
                <w:color w:val="000000"/>
                <w:sz w:val="24"/>
              </w:rPr>
            </w:pPr>
            <w:r>
              <w:rPr>
                <w:rFonts w:ascii="宋体" w:hAnsi="宋体" w:cs="宋体" w:hint="eastAsia"/>
                <w:color w:val="000000"/>
                <w:sz w:val="24"/>
              </w:rPr>
              <w:t>输出功率20%≤P≤50%时，功率因数≥0.9</w:t>
            </w:r>
            <w:r>
              <w:rPr>
                <w:rFonts w:ascii="宋体" w:hAnsi="宋体" w:cs="宋体"/>
                <w:color w:val="000000"/>
                <w:sz w:val="24"/>
              </w:rPr>
              <w:t>8</w:t>
            </w:r>
            <w:r>
              <w:rPr>
                <w:rFonts w:ascii="宋体" w:hAnsi="宋体" w:cs="宋体" w:hint="eastAsia"/>
                <w:color w:val="000000"/>
                <w:sz w:val="24"/>
              </w:rPr>
              <w:t>；</w:t>
            </w:r>
          </w:p>
          <w:p w:rsidR="004E2BDA" w:rsidRDefault="00E47BC7">
            <w:pPr>
              <w:widowControl/>
              <w:rPr>
                <w:rFonts w:ascii="宋体" w:hAnsi="宋体" w:cs="宋体"/>
                <w:color w:val="000000"/>
                <w:sz w:val="24"/>
              </w:rPr>
            </w:pPr>
            <w:r>
              <w:rPr>
                <w:rFonts w:ascii="宋体" w:hAnsi="宋体" w:cs="宋体" w:hint="eastAsia"/>
                <w:color w:val="000000"/>
                <w:sz w:val="24"/>
              </w:rPr>
              <w:t>输出功率50%＜P≤100%时，功率因数≥0.9</w:t>
            </w:r>
            <w:r>
              <w:rPr>
                <w:rFonts w:ascii="宋体" w:hAnsi="宋体" w:cs="宋体"/>
                <w:color w:val="000000"/>
                <w:sz w:val="24"/>
              </w:rPr>
              <w:t>9</w:t>
            </w:r>
          </w:p>
        </w:tc>
      </w:tr>
      <w:tr w:rsidR="004E2BDA">
        <w:trPr>
          <w:trHeight w:val="20"/>
        </w:trPr>
        <w:tc>
          <w:tcPr>
            <w:tcW w:w="704"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18</w:t>
            </w:r>
          </w:p>
        </w:tc>
        <w:tc>
          <w:tcPr>
            <w:tcW w:w="2716"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待机功耗</w:t>
            </w:r>
          </w:p>
        </w:tc>
        <w:tc>
          <w:tcPr>
            <w:tcW w:w="4939" w:type="dxa"/>
            <w:shd w:val="clear" w:color="auto" w:fill="auto"/>
            <w:vAlign w:val="center"/>
          </w:tcPr>
          <w:p w:rsidR="004E2BDA" w:rsidRDefault="00E47BC7">
            <w:pPr>
              <w:widowControl/>
              <w:jc w:val="left"/>
              <w:rPr>
                <w:rFonts w:ascii="宋体" w:hAnsi="宋体" w:cs="宋体"/>
                <w:color w:val="000000"/>
                <w:sz w:val="24"/>
              </w:rPr>
            </w:pPr>
            <w:r>
              <w:rPr>
                <w:rFonts w:ascii="宋体" w:hAnsi="宋体" w:cs="宋体" w:hint="eastAsia"/>
                <w:color w:val="000000"/>
                <w:sz w:val="24"/>
              </w:rPr>
              <w:t>≤</w:t>
            </w:r>
            <w:r>
              <w:rPr>
                <w:rFonts w:ascii="宋体" w:hAnsi="宋体" w:cs="宋体"/>
                <w:color w:val="000000"/>
                <w:sz w:val="24"/>
              </w:rPr>
              <w:t>15</w:t>
            </w:r>
            <w:r>
              <w:rPr>
                <w:rFonts w:ascii="宋体" w:hAnsi="宋体" w:cs="宋体" w:hint="eastAsia"/>
                <w:color w:val="000000"/>
                <w:sz w:val="24"/>
              </w:rPr>
              <w:t>W</w:t>
            </w:r>
          </w:p>
        </w:tc>
      </w:tr>
      <w:tr w:rsidR="004E2BDA">
        <w:trPr>
          <w:trHeight w:val="20"/>
        </w:trPr>
        <w:tc>
          <w:tcPr>
            <w:tcW w:w="704"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19</w:t>
            </w:r>
          </w:p>
        </w:tc>
        <w:tc>
          <w:tcPr>
            <w:tcW w:w="2716"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噪声</w:t>
            </w:r>
          </w:p>
        </w:tc>
        <w:tc>
          <w:tcPr>
            <w:tcW w:w="4939" w:type="dxa"/>
            <w:shd w:val="clear" w:color="auto" w:fill="auto"/>
            <w:vAlign w:val="center"/>
          </w:tcPr>
          <w:p w:rsidR="004E2BDA" w:rsidRDefault="00E47BC7">
            <w:pPr>
              <w:widowControl/>
              <w:jc w:val="left"/>
              <w:rPr>
                <w:rFonts w:ascii="宋体" w:hAnsi="宋体" w:cs="宋体"/>
                <w:color w:val="000000"/>
                <w:sz w:val="24"/>
              </w:rPr>
            </w:pPr>
            <w:r>
              <w:rPr>
                <w:rFonts w:ascii="宋体" w:hAnsi="宋体" w:cs="宋体" w:hint="eastAsia"/>
                <w:color w:val="000000"/>
                <w:sz w:val="24"/>
              </w:rPr>
              <w:t>≤75dB</w:t>
            </w:r>
          </w:p>
        </w:tc>
      </w:tr>
      <w:tr w:rsidR="004E2BDA">
        <w:trPr>
          <w:trHeight w:val="20"/>
        </w:trPr>
        <w:tc>
          <w:tcPr>
            <w:tcW w:w="704"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20</w:t>
            </w:r>
          </w:p>
        </w:tc>
        <w:tc>
          <w:tcPr>
            <w:tcW w:w="2716"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IP防护等级</w:t>
            </w:r>
          </w:p>
        </w:tc>
        <w:tc>
          <w:tcPr>
            <w:tcW w:w="4939" w:type="dxa"/>
            <w:shd w:val="clear" w:color="auto" w:fill="auto"/>
            <w:vAlign w:val="center"/>
          </w:tcPr>
          <w:p w:rsidR="004E2BDA" w:rsidRDefault="00E47BC7">
            <w:pPr>
              <w:widowControl/>
              <w:jc w:val="left"/>
              <w:rPr>
                <w:rFonts w:ascii="宋体" w:hAnsi="宋体" w:cs="宋体"/>
                <w:color w:val="000000"/>
                <w:sz w:val="24"/>
              </w:rPr>
            </w:pPr>
            <w:r>
              <w:rPr>
                <w:rFonts w:ascii="宋体" w:hAnsi="宋体" w:cs="宋体" w:hint="eastAsia"/>
                <w:color w:val="000000"/>
                <w:sz w:val="24"/>
              </w:rPr>
              <w:t>IP54</w:t>
            </w:r>
          </w:p>
        </w:tc>
      </w:tr>
      <w:tr w:rsidR="004E2BDA">
        <w:trPr>
          <w:trHeight w:val="20"/>
        </w:trPr>
        <w:tc>
          <w:tcPr>
            <w:tcW w:w="704"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21</w:t>
            </w:r>
          </w:p>
        </w:tc>
        <w:tc>
          <w:tcPr>
            <w:tcW w:w="2716"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正常工作温度</w:t>
            </w:r>
          </w:p>
        </w:tc>
        <w:tc>
          <w:tcPr>
            <w:tcW w:w="4939" w:type="dxa"/>
            <w:shd w:val="clear" w:color="auto" w:fill="auto"/>
            <w:vAlign w:val="center"/>
          </w:tcPr>
          <w:p w:rsidR="004E2BDA" w:rsidRDefault="00E47BC7">
            <w:pPr>
              <w:widowControl/>
              <w:jc w:val="left"/>
              <w:rPr>
                <w:rFonts w:ascii="宋体" w:hAnsi="宋体" w:cs="宋体"/>
                <w:color w:val="000000"/>
                <w:sz w:val="24"/>
              </w:rPr>
            </w:pPr>
            <w:r>
              <w:rPr>
                <w:rFonts w:ascii="宋体" w:hAnsi="宋体" w:cs="宋体" w:hint="eastAsia"/>
                <w:color w:val="000000"/>
                <w:sz w:val="24"/>
              </w:rPr>
              <w:t>-20℃至50℃</w:t>
            </w:r>
          </w:p>
        </w:tc>
      </w:tr>
      <w:tr w:rsidR="004E2BDA">
        <w:trPr>
          <w:trHeight w:val="20"/>
        </w:trPr>
        <w:tc>
          <w:tcPr>
            <w:tcW w:w="704"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22</w:t>
            </w:r>
          </w:p>
        </w:tc>
        <w:tc>
          <w:tcPr>
            <w:tcW w:w="2716"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高低温稳流</w:t>
            </w:r>
          </w:p>
        </w:tc>
        <w:tc>
          <w:tcPr>
            <w:tcW w:w="4939" w:type="dxa"/>
            <w:shd w:val="clear" w:color="auto" w:fill="auto"/>
            <w:vAlign w:val="center"/>
          </w:tcPr>
          <w:p w:rsidR="004E2BDA" w:rsidRDefault="00E47BC7">
            <w:pPr>
              <w:widowControl/>
              <w:jc w:val="left"/>
              <w:rPr>
                <w:rFonts w:ascii="宋体" w:hAnsi="宋体" w:cs="宋体"/>
                <w:color w:val="000000"/>
                <w:sz w:val="24"/>
              </w:rPr>
            </w:pPr>
            <w:r>
              <w:rPr>
                <w:rFonts w:ascii="宋体" w:hAnsi="宋体" w:cs="宋体" w:hint="eastAsia"/>
                <w:color w:val="000000"/>
                <w:sz w:val="24"/>
              </w:rPr>
              <w:t>-20℃时≤±</w:t>
            </w:r>
            <w:r>
              <w:rPr>
                <w:rFonts w:ascii="宋体" w:hAnsi="宋体" w:cs="宋体"/>
                <w:color w:val="000000"/>
                <w:sz w:val="24"/>
              </w:rPr>
              <w:t>0.2</w:t>
            </w:r>
            <w:r>
              <w:rPr>
                <w:rFonts w:ascii="宋体" w:hAnsi="宋体" w:cs="宋体" w:hint="eastAsia"/>
                <w:color w:val="000000"/>
                <w:sz w:val="24"/>
              </w:rPr>
              <w:t>%；50℃时≤±</w:t>
            </w:r>
            <w:r>
              <w:rPr>
                <w:rFonts w:ascii="宋体" w:hAnsi="宋体" w:cs="宋体"/>
                <w:color w:val="000000"/>
                <w:sz w:val="24"/>
              </w:rPr>
              <w:t>0.3</w:t>
            </w:r>
            <w:r>
              <w:rPr>
                <w:rFonts w:ascii="宋体" w:hAnsi="宋体" w:cs="宋体" w:hint="eastAsia"/>
                <w:color w:val="000000"/>
                <w:sz w:val="24"/>
              </w:rPr>
              <w:t>%</w:t>
            </w:r>
          </w:p>
        </w:tc>
      </w:tr>
      <w:tr w:rsidR="004E2BDA">
        <w:trPr>
          <w:trHeight w:val="20"/>
        </w:trPr>
        <w:tc>
          <w:tcPr>
            <w:tcW w:w="704"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23</w:t>
            </w:r>
          </w:p>
        </w:tc>
        <w:tc>
          <w:tcPr>
            <w:tcW w:w="2716"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显示方式</w:t>
            </w:r>
          </w:p>
        </w:tc>
        <w:tc>
          <w:tcPr>
            <w:tcW w:w="4939" w:type="dxa"/>
            <w:shd w:val="clear" w:color="auto" w:fill="auto"/>
            <w:vAlign w:val="center"/>
          </w:tcPr>
          <w:p w:rsidR="004E2BDA" w:rsidRDefault="00E47BC7">
            <w:pPr>
              <w:widowControl/>
              <w:jc w:val="left"/>
              <w:rPr>
                <w:rFonts w:ascii="宋体" w:hAnsi="宋体" w:cs="宋体"/>
                <w:color w:val="000000"/>
                <w:sz w:val="24"/>
              </w:rPr>
            </w:pPr>
            <w:r>
              <w:rPr>
                <w:rFonts w:ascii="宋体" w:hAnsi="宋体" w:cs="宋体" w:hint="eastAsia"/>
                <w:color w:val="000000"/>
                <w:sz w:val="24"/>
              </w:rPr>
              <w:t>充电桩桩体自带≥7寸触控屏</w:t>
            </w:r>
          </w:p>
        </w:tc>
      </w:tr>
      <w:tr w:rsidR="004E2BDA">
        <w:trPr>
          <w:trHeight w:val="20"/>
        </w:trPr>
        <w:tc>
          <w:tcPr>
            <w:tcW w:w="704"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24</w:t>
            </w:r>
          </w:p>
        </w:tc>
        <w:tc>
          <w:tcPr>
            <w:tcW w:w="2716"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其他安全保护</w:t>
            </w:r>
          </w:p>
        </w:tc>
        <w:tc>
          <w:tcPr>
            <w:tcW w:w="4939" w:type="dxa"/>
            <w:shd w:val="clear" w:color="auto" w:fill="auto"/>
            <w:vAlign w:val="center"/>
          </w:tcPr>
          <w:p w:rsidR="004E2BDA" w:rsidRDefault="00E47BC7">
            <w:pPr>
              <w:widowControl/>
              <w:jc w:val="left"/>
              <w:rPr>
                <w:rFonts w:ascii="宋体" w:hAnsi="宋体" w:cs="宋体"/>
                <w:color w:val="000000"/>
                <w:sz w:val="24"/>
              </w:rPr>
            </w:pPr>
            <w:r>
              <w:rPr>
                <w:rFonts w:ascii="宋体" w:hAnsi="宋体" w:cs="宋体" w:hint="eastAsia"/>
                <w:color w:val="000000"/>
                <w:sz w:val="24"/>
              </w:rPr>
              <w:t>输入过压保护、输入欠压保护、输出过压保护、输出短路保护、过温保护、开门保护、启动急停装置、输入电流过冲、蓄电池反接、防逆流功能、接触器粘连</w:t>
            </w:r>
          </w:p>
        </w:tc>
      </w:tr>
      <w:tr w:rsidR="004E2BDA">
        <w:trPr>
          <w:trHeight w:val="20"/>
        </w:trPr>
        <w:tc>
          <w:tcPr>
            <w:tcW w:w="704"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25</w:t>
            </w:r>
          </w:p>
        </w:tc>
        <w:tc>
          <w:tcPr>
            <w:tcW w:w="2716"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启动方式</w:t>
            </w:r>
          </w:p>
        </w:tc>
        <w:tc>
          <w:tcPr>
            <w:tcW w:w="4939" w:type="dxa"/>
            <w:shd w:val="clear" w:color="auto" w:fill="auto"/>
            <w:vAlign w:val="center"/>
          </w:tcPr>
          <w:p w:rsidR="004E2BDA" w:rsidRDefault="00E47BC7">
            <w:pPr>
              <w:widowControl/>
              <w:jc w:val="left"/>
              <w:rPr>
                <w:rFonts w:ascii="宋体" w:hAnsi="宋体" w:cs="宋体"/>
                <w:color w:val="000000"/>
                <w:sz w:val="24"/>
              </w:rPr>
            </w:pPr>
            <w:r>
              <w:rPr>
                <w:rFonts w:ascii="宋体" w:hAnsi="宋体" w:cs="宋体" w:hint="eastAsia"/>
                <w:color w:val="000000"/>
                <w:sz w:val="24"/>
              </w:rPr>
              <w:t>刷卡启动、APP扫码启动、微信扫码启动、VIN码启动</w:t>
            </w:r>
          </w:p>
        </w:tc>
      </w:tr>
      <w:tr w:rsidR="004E2BDA">
        <w:trPr>
          <w:trHeight w:val="20"/>
        </w:trPr>
        <w:tc>
          <w:tcPr>
            <w:tcW w:w="704"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26</w:t>
            </w:r>
          </w:p>
        </w:tc>
        <w:tc>
          <w:tcPr>
            <w:tcW w:w="2716"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通信协议</w:t>
            </w:r>
          </w:p>
        </w:tc>
        <w:tc>
          <w:tcPr>
            <w:tcW w:w="4939" w:type="dxa"/>
            <w:shd w:val="clear" w:color="auto" w:fill="auto"/>
            <w:vAlign w:val="center"/>
          </w:tcPr>
          <w:p w:rsidR="004E2BDA" w:rsidRDefault="00E47BC7">
            <w:pPr>
              <w:widowControl/>
              <w:jc w:val="left"/>
              <w:rPr>
                <w:rFonts w:ascii="宋体" w:hAnsi="宋体" w:cs="宋体"/>
                <w:color w:val="000000"/>
                <w:sz w:val="24"/>
              </w:rPr>
            </w:pPr>
            <w:r>
              <w:rPr>
                <w:rFonts w:ascii="宋体" w:hAnsi="宋体" w:cs="宋体" w:hint="eastAsia"/>
                <w:color w:val="000000"/>
                <w:sz w:val="24"/>
              </w:rPr>
              <w:t>符合中华人民共和国工业和信息化部发布的新国标即《电动汽车非车载传导式充电机与电</w:t>
            </w:r>
            <w:r>
              <w:rPr>
                <w:rFonts w:ascii="宋体" w:hAnsi="宋体" w:cs="宋体" w:hint="eastAsia"/>
                <w:color w:val="000000"/>
                <w:sz w:val="24"/>
              </w:rPr>
              <w:lastRenderedPageBreak/>
              <w:t>池管理系统之间的通信协议（GB/T 27930-2015）》</w:t>
            </w:r>
          </w:p>
        </w:tc>
      </w:tr>
      <w:tr w:rsidR="004E2BDA">
        <w:trPr>
          <w:trHeight w:val="20"/>
        </w:trPr>
        <w:tc>
          <w:tcPr>
            <w:tcW w:w="704"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lastRenderedPageBreak/>
              <w:t>27</w:t>
            </w:r>
          </w:p>
        </w:tc>
        <w:tc>
          <w:tcPr>
            <w:tcW w:w="2716"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安装方式</w:t>
            </w:r>
          </w:p>
        </w:tc>
        <w:tc>
          <w:tcPr>
            <w:tcW w:w="4939" w:type="dxa"/>
            <w:shd w:val="clear" w:color="auto" w:fill="auto"/>
            <w:vAlign w:val="center"/>
          </w:tcPr>
          <w:p w:rsidR="004E2BDA" w:rsidRDefault="00E47BC7">
            <w:pPr>
              <w:widowControl/>
              <w:jc w:val="left"/>
              <w:rPr>
                <w:rFonts w:ascii="宋体" w:hAnsi="宋体" w:cs="宋体"/>
                <w:color w:val="000000"/>
                <w:sz w:val="24"/>
              </w:rPr>
            </w:pPr>
            <w:r>
              <w:rPr>
                <w:rFonts w:ascii="宋体" w:hAnsi="宋体" w:cs="宋体" w:hint="eastAsia"/>
                <w:color w:val="000000"/>
                <w:sz w:val="24"/>
              </w:rPr>
              <w:t>落地式安装</w:t>
            </w:r>
          </w:p>
        </w:tc>
      </w:tr>
      <w:tr w:rsidR="004E2BDA">
        <w:trPr>
          <w:trHeight w:val="20"/>
        </w:trPr>
        <w:tc>
          <w:tcPr>
            <w:tcW w:w="704"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28</w:t>
            </w:r>
          </w:p>
        </w:tc>
        <w:tc>
          <w:tcPr>
            <w:tcW w:w="2716"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通讯传输</w:t>
            </w:r>
          </w:p>
        </w:tc>
        <w:tc>
          <w:tcPr>
            <w:tcW w:w="4939" w:type="dxa"/>
            <w:shd w:val="clear" w:color="auto" w:fill="auto"/>
            <w:vAlign w:val="center"/>
          </w:tcPr>
          <w:p w:rsidR="004E2BDA" w:rsidRDefault="00E47BC7">
            <w:pPr>
              <w:widowControl/>
              <w:jc w:val="left"/>
              <w:rPr>
                <w:rFonts w:ascii="宋体" w:hAnsi="宋体" w:cs="宋体"/>
                <w:color w:val="000000"/>
                <w:sz w:val="24"/>
              </w:rPr>
            </w:pPr>
            <w:r>
              <w:rPr>
                <w:rFonts w:ascii="宋体" w:hAnsi="宋体" w:cs="宋体" w:hint="eastAsia"/>
                <w:color w:val="000000"/>
                <w:sz w:val="24"/>
              </w:rPr>
              <w:t>4G、3G或2G无线网络传输</w:t>
            </w:r>
          </w:p>
        </w:tc>
      </w:tr>
      <w:tr w:rsidR="004E2BDA">
        <w:trPr>
          <w:trHeight w:val="20"/>
        </w:trPr>
        <w:tc>
          <w:tcPr>
            <w:tcW w:w="704"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29</w:t>
            </w:r>
          </w:p>
        </w:tc>
        <w:tc>
          <w:tcPr>
            <w:tcW w:w="2716"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充电电缆</w:t>
            </w:r>
          </w:p>
        </w:tc>
        <w:tc>
          <w:tcPr>
            <w:tcW w:w="4939" w:type="dxa"/>
            <w:shd w:val="clear" w:color="auto" w:fill="auto"/>
            <w:vAlign w:val="center"/>
          </w:tcPr>
          <w:p w:rsidR="004E2BDA" w:rsidRDefault="00E47BC7">
            <w:pPr>
              <w:widowControl/>
              <w:jc w:val="left"/>
              <w:rPr>
                <w:rFonts w:ascii="宋体" w:hAnsi="宋体" w:cs="宋体"/>
                <w:color w:val="000000"/>
                <w:sz w:val="24"/>
              </w:rPr>
            </w:pPr>
            <w:r>
              <w:rPr>
                <w:rFonts w:ascii="宋体" w:hAnsi="宋体" w:cs="宋体" w:hint="eastAsia"/>
                <w:color w:val="000000"/>
                <w:sz w:val="24"/>
              </w:rPr>
              <w:t>≥5m</w:t>
            </w:r>
          </w:p>
        </w:tc>
      </w:tr>
      <w:tr w:rsidR="004E2BDA">
        <w:trPr>
          <w:trHeight w:val="20"/>
        </w:trPr>
        <w:tc>
          <w:tcPr>
            <w:tcW w:w="704"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30</w:t>
            </w:r>
          </w:p>
        </w:tc>
        <w:tc>
          <w:tcPr>
            <w:tcW w:w="2716"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外形尺寸</w:t>
            </w:r>
          </w:p>
        </w:tc>
        <w:tc>
          <w:tcPr>
            <w:tcW w:w="4939" w:type="dxa"/>
            <w:shd w:val="clear" w:color="auto" w:fill="auto"/>
            <w:vAlign w:val="center"/>
          </w:tcPr>
          <w:p w:rsidR="004E2BDA" w:rsidRDefault="00E47BC7">
            <w:pPr>
              <w:widowControl/>
              <w:jc w:val="left"/>
              <w:rPr>
                <w:rFonts w:ascii="宋体" w:hAnsi="宋体" w:cs="宋体"/>
                <w:color w:val="000000"/>
                <w:sz w:val="24"/>
              </w:rPr>
            </w:pPr>
            <w:r>
              <w:rPr>
                <w:rFonts w:ascii="宋体" w:hAnsi="宋体" w:cs="宋体" w:hint="eastAsia"/>
                <w:color w:val="000000"/>
                <w:sz w:val="24"/>
              </w:rPr>
              <w:t>不限（以不影响现场操作、设备维修、其他设备设施安装等为原则和前提，尽可能缩小占地面积）</w:t>
            </w:r>
          </w:p>
        </w:tc>
      </w:tr>
      <w:tr w:rsidR="004E2BDA">
        <w:trPr>
          <w:trHeight w:val="20"/>
        </w:trPr>
        <w:tc>
          <w:tcPr>
            <w:tcW w:w="704"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31</w:t>
            </w:r>
          </w:p>
        </w:tc>
        <w:tc>
          <w:tcPr>
            <w:tcW w:w="2716"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开门方式</w:t>
            </w:r>
          </w:p>
        </w:tc>
        <w:tc>
          <w:tcPr>
            <w:tcW w:w="4939" w:type="dxa"/>
            <w:shd w:val="clear" w:color="auto" w:fill="auto"/>
            <w:vAlign w:val="center"/>
          </w:tcPr>
          <w:p w:rsidR="004E2BDA" w:rsidRDefault="00E47BC7">
            <w:pPr>
              <w:widowControl/>
              <w:jc w:val="left"/>
              <w:rPr>
                <w:rFonts w:ascii="宋体" w:hAnsi="宋体" w:cs="宋体"/>
                <w:color w:val="000000"/>
                <w:sz w:val="24"/>
              </w:rPr>
            </w:pPr>
            <w:r>
              <w:rPr>
                <w:rFonts w:ascii="宋体" w:hAnsi="宋体" w:cs="宋体" w:hint="eastAsia"/>
                <w:color w:val="000000"/>
                <w:sz w:val="24"/>
              </w:rPr>
              <w:t>充电桩采用后端免开门设计，节省桩体安装时背面所需的预留空间，维护更方便。</w:t>
            </w:r>
          </w:p>
        </w:tc>
      </w:tr>
      <w:tr w:rsidR="004E2BDA">
        <w:trPr>
          <w:trHeight w:val="20"/>
        </w:trPr>
        <w:tc>
          <w:tcPr>
            <w:tcW w:w="704"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32</w:t>
            </w:r>
          </w:p>
        </w:tc>
        <w:tc>
          <w:tcPr>
            <w:tcW w:w="2716"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枪线出线方式</w:t>
            </w:r>
          </w:p>
        </w:tc>
        <w:tc>
          <w:tcPr>
            <w:tcW w:w="4939" w:type="dxa"/>
            <w:shd w:val="clear" w:color="auto" w:fill="auto"/>
            <w:vAlign w:val="center"/>
          </w:tcPr>
          <w:p w:rsidR="004E2BDA" w:rsidRDefault="00E47BC7">
            <w:pPr>
              <w:widowControl/>
              <w:jc w:val="left"/>
              <w:rPr>
                <w:rFonts w:ascii="宋体" w:hAnsi="宋体" w:cs="宋体"/>
                <w:color w:val="000000"/>
                <w:sz w:val="24"/>
              </w:rPr>
            </w:pPr>
            <w:r>
              <w:rPr>
                <w:rFonts w:ascii="宋体" w:hAnsi="宋体" w:cs="宋体" w:hint="eastAsia"/>
                <w:color w:val="000000"/>
                <w:sz w:val="24"/>
              </w:rPr>
              <w:t>充电枪出线采用上出线设计，减轻用户在提枪时的力度，增加用户体验感</w:t>
            </w:r>
          </w:p>
        </w:tc>
      </w:tr>
      <w:tr w:rsidR="004E2BDA">
        <w:trPr>
          <w:trHeight w:val="20"/>
        </w:trPr>
        <w:tc>
          <w:tcPr>
            <w:tcW w:w="704"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33</w:t>
            </w:r>
          </w:p>
        </w:tc>
        <w:tc>
          <w:tcPr>
            <w:tcW w:w="2716"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枪体放置方式</w:t>
            </w:r>
          </w:p>
        </w:tc>
        <w:tc>
          <w:tcPr>
            <w:tcW w:w="4939" w:type="dxa"/>
            <w:shd w:val="clear" w:color="auto" w:fill="auto"/>
            <w:vAlign w:val="center"/>
          </w:tcPr>
          <w:p w:rsidR="004E2BDA" w:rsidRDefault="00E47BC7">
            <w:pPr>
              <w:widowControl/>
              <w:jc w:val="left"/>
              <w:rPr>
                <w:rFonts w:ascii="宋体" w:hAnsi="宋体" w:cs="宋体"/>
                <w:color w:val="000000"/>
                <w:sz w:val="24"/>
              </w:rPr>
            </w:pPr>
            <w:r>
              <w:rPr>
                <w:rFonts w:ascii="宋体" w:hAnsi="宋体" w:cs="宋体" w:hint="eastAsia"/>
                <w:color w:val="000000"/>
                <w:sz w:val="24"/>
              </w:rPr>
              <w:t>充电枪枪体前置，方便用户提枪</w:t>
            </w:r>
          </w:p>
        </w:tc>
      </w:tr>
      <w:tr w:rsidR="004E2BDA">
        <w:trPr>
          <w:trHeight w:val="20"/>
        </w:trPr>
        <w:tc>
          <w:tcPr>
            <w:tcW w:w="704"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34</w:t>
            </w:r>
          </w:p>
        </w:tc>
        <w:tc>
          <w:tcPr>
            <w:tcW w:w="2716"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功率分配</w:t>
            </w:r>
          </w:p>
        </w:tc>
        <w:tc>
          <w:tcPr>
            <w:tcW w:w="4939" w:type="dxa"/>
            <w:shd w:val="clear" w:color="auto" w:fill="auto"/>
            <w:vAlign w:val="center"/>
          </w:tcPr>
          <w:p w:rsidR="004E2BDA" w:rsidRDefault="00E47BC7">
            <w:pPr>
              <w:widowControl/>
              <w:jc w:val="left"/>
              <w:rPr>
                <w:rFonts w:ascii="宋体" w:hAnsi="宋体" w:cs="宋体"/>
                <w:color w:val="000000"/>
                <w:sz w:val="24"/>
              </w:rPr>
            </w:pPr>
            <w:r>
              <w:rPr>
                <w:rFonts w:ascii="宋体" w:hAnsi="宋体" w:cs="宋体" w:hint="eastAsia"/>
                <w:color w:val="000000"/>
                <w:sz w:val="24"/>
              </w:rPr>
              <w:t>充电桩两路接口应能按需分配功率，1路接口为额定功率输出时，2路接口如有功率需求，将降低1路接口输出功率，增加2路接口输出功率，当1路接口功率需求为0时，2路接口输出功率可达到额定功率输出，且功率分配级差不低于30kW。</w:t>
            </w:r>
          </w:p>
        </w:tc>
      </w:tr>
      <w:tr w:rsidR="004E2BDA">
        <w:trPr>
          <w:trHeight w:val="20"/>
        </w:trPr>
        <w:tc>
          <w:tcPr>
            <w:tcW w:w="704"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3</w:t>
            </w:r>
            <w:r>
              <w:rPr>
                <w:rFonts w:ascii="宋体" w:hAnsi="宋体" w:cs="宋体"/>
                <w:color w:val="000000"/>
                <w:sz w:val="24"/>
              </w:rPr>
              <w:t>5</w:t>
            </w:r>
          </w:p>
        </w:tc>
        <w:tc>
          <w:tcPr>
            <w:tcW w:w="2716" w:type="dxa"/>
            <w:shd w:val="clear" w:color="auto" w:fill="auto"/>
            <w:vAlign w:val="center"/>
          </w:tcPr>
          <w:p w:rsidR="004E2BDA" w:rsidRDefault="00E47BC7">
            <w:pPr>
              <w:widowControl/>
              <w:jc w:val="center"/>
              <w:rPr>
                <w:rFonts w:ascii="宋体" w:hAnsi="宋体" w:cs="宋体"/>
                <w:color w:val="000000"/>
                <w:sz w:val="24"/>
              </w:rPr>
            </w:pPr>
            <w:r>
              <w:rPr>
                <w:rFonts w:ascii="宋体" w:hAnsi="宋体" w:cs="宋体" w:hint="eastAsia"/>
                <w:color w:val="000000"/>
                <w:sz w:val="24"/>
              </w:rPr>
              <w:t>交流输入失电</w:t>
            </w:r>
          </w:p>
        </w:tc>
        <w:tc>
          <w:tcPr>
            <w:tcW w:w="4939" w:type="dxa"/>
            <w:shd w:val="clear" w:color="auto" w:fill="auto"/>
            <w:vAlign w:val="center"/>
          </w:tcPr>
          <w:p w:rsidR="004E2BDA" w:rsidRDefault="00E47BC7">
            <w:pPr>
              <w:widowControl/>
              <w:jc w:val="left"/>
              <w:rPr>
                <w:rFonts w:ascii="宋体" w:hAnsi="宋体" w:cs="宋体"/>
                <w:color w:val="000000"/>
                <w:sz w:val="24"/>
              </w:rPr>
            </w:pPr>
            <w:r>
              <w:rPr>
                <w:rFonts w:ascii="宋体" w:hAnsi="宋体" w:cs="宋体" w:hint="eastAsia"/>
                <w:color w:val="000000"/>
                <w:sz w:val="24"/>
              </w:rPr>
              <w:t>充电桩在正常充电过程中，如发生充电回路或控制回路失去电力，充电桩应能在1s内断开K1、K2或通过泄放回路在1s内将充电接口电压降至60V DC以下。</w:t>
            </w:r>
          </w:p>
        </w:tc>
      </w:tr>
    </w:tbl>
    <w:p w:rsidR="004E2BDA" w:rsidRDefault="00677A45">
      <w:pPr>
        <w:keepNext/>
        <w:keepLines/>
        <w:spacing w:before="260" w:after="260" w:line="416" w:lineRule="auto"/>
        <w:outlineLvl w:val="2"/>
        <w:rPr>
          <w:rFonts w:ascii="宋体" w:hAnsi="宋体"/>
          <w:b/>
          <w:bCs/>
          <w:sz w:val="24"/>
        </w:rPr>
      </w:pPr>
      <w:r>
        <w:rPr>
          <w:rFonts w:ascii="宋体" w:hAnsi="宋体" w:hint="eastAsia"/>
          <w:b/>
          <w:bCs/>
          <w:sz w:val="24"/>
        </w:rPr>
        <w:t>2</w:t>
      </w:r>
      <w:r w:rsidR="00E47BC7">
        <w:rPr>
          <w:rFonts w:ascii="宋体" w:hAnsi="宋体" w:hint="eastAsia"/>
          <w:b/>
          <w:bCs/>
          <w:sz w:val="24"/>
        </w:rPr>
        <w:t>.</w:t>
      </w:r>
      <w:r w:rsidR="00C0215E">
        <w:rPr>
          <w:rFonts w:ascii="宋体" w:hAnsi="宋体" w:hint="eastAsia"/>
          <w:b/>
          <w:bCs/>
          <w:sz w:val="24"/>
        </w:rPr>
        <w:t>2</w:t>
      </w:r>
      <w:r w:rsidR="00E47BC7">
        <w:rPr>
          <w:rFonts w:ascii="宋体" w:hAnsi="宋体" w:hint="eastAsia"/>
          <w:b/>
          <w:bCs/>
          <w:sz w:val="24"/>
        </w:rPr>
        <w:t>功能要求</w:t>
      </w:r>
    </w:p>
    <w:p w:rsidR="004E2BDA" w:rsidRDefault="00677A45">
      <w:pPr>
        <w:keepNext/>
        <w:keepLines/>
        <w:spacing w:before="280" w:after="290" w:line="376" w:lineRule="auto"/>
        <w:outlineLvl w:val="3"/>
        <w:rPr>
          <w:rFonts w:ascii="宋体" w:hAnsi="宋体" w:cstheme="majorBidi"/>
          <w:b/>
          <w:bCs/>
          <w:sz w:val="24"/>
        </w:rPr>
      </w:pPr>
      <w:r>
        <w:rPr>
          <w:rFonts w:ascii="宋体" w:hAnsi="宋体" w:cstheme="majorBidi" w:hint="eastAsia"/>
          <w:b/>
          <w:bCs/>
          <w:sz w:val="24"/>
        </w:rPr>
        <w:t>2</w:t>
      </w:r>
      <w:r w:rsidR="00E47BC7">
        <w:rPr>
          <w:rFonts w:ascii="宋体" w:hAnsi="宋体" w:cstheme="majorBidi" w:hint="eastAsia"/>
          <w:b/>
          <w:bCs/>
          <w:sz w:val="24"/>
        </w:rPr>
        <w:t>.</w:t>
      </w:r>
      <w:r w:rsidR="00E47BC7">
        <w:rPr>
          <w:rFonts w:ascii="宋体" w:hAnsi="宋体" w:cstheme="majorBidi"/>
          <w:b/>
          <w:bCs/>
          <w:sz w:val="24"/>
        </w:rPr>
        <w:t>2.1</w:t>
      </w:r>
      <w:r w:rsidR="00E47BC7">
        <w:rPr>
          <w:rFonts w:ascii="宋体" w:hAnsi="宋体" w:cstheme="majorBidi" w:hint="eastAsia"/>
          <w:b/>
          <w:bCs/>
          <w:sz w:val="24"/>
        </w:rPr>
        <w:t>充电设备的充电功能</w:t>
      </w:r>
    </w:p>
    <w:p w:rsidR="004E2BDA" w:rsidRDefault="00E47BC7">
      <w:pPr>
        <w:numPr>
          <w:ilvl w:val="255"/>
          <w:numId w:val="0"/>
        </w:numPr>
        <w:autoSpaceDE w:val="0"/>
        <w:autoSpaceDN w:val="0"/>
        <w:spacing w:line="360" w:lineRule="auto"/>
        <w:ind w:firstLineChars="100" w:firstLine="240"/>
        <w:jc w:val="left"/>
        <w:rPr>
          <w:rFonts w:ascii="宋体" w:hAnsi="宋体"/>
          <w:color w:val="000000"/>
          <w:sz w:val="24"/>
        </w:rPr>
      </w:pPr>
      <w:r>
        <w:rPr>
          <w:rFonts w:ascii="宋体" w:hAnsi="宋体" w:hint="eastAsia"/>
          <w:color w:val="000000"/>
          <w:sz w:val="24"/>
        </w:rPr>
        <w:t>充电设备具有为电动汽车安全自动充满电的功能。</w:t>
      </w:r>
    </w:p>
    <w:p w:rsidR="004E2BDA" w:rsidRDefault="00E47BC7">
      <w:pPr>
        <w:numPr>
          <w:ilvl w:val="255"/>
          <w:numId w:val="0"/>
        </w:numPr>
        <w:autoSpaceDE w:val="0"/>
        <w:autoSpaceDN w:val="0"/>
        <w:spacing w:line="360" w:lineRule="auto"/>
        <w:ind w:firstLineChars="100" w:firstLine="240"/>
        <w:jc w:val="left"/>
        <w:rPr>
          <w:rFonts w:ascii="宋体" w:hAnsi="宋体"/>
          <w:color w:val="000000"/>
          <w:sz w:val="24"/>
        </w:rPr>
      </w:pPr>
      <w:r>
        <w:rPr>
          <w:rFonts w:ascii="宋体" w:hAnsi="宋体" w:hint="eastAsia"/>
          <w:color w:val="000000"/>
          <w:sz w:val="24"/>
        </w:rPr>
        <w:t>充电启动可采用本地手动启动、刷卡启动或手机</w:t>
      </w:r>
      <w:r>
        <w:rPr>
          <w:rFonts w:ascii="宋体" w:hAnsi="宋体"/>
          <w:color w:val="000000"/>
          <w:sz w:val="24"/>
        </w:rPr>
        <w:t>APP</w:t>
      </w:r>
      <w:r>
        <w:rPr>
          <w:rFonts w:ascii="宋体" w:hAnsi="宋体" w:hint="eastAsia"/>
          <w:color w:val="000000"/>
          <w:sz w:val="24"/>
        </w:rPr>
        <w:t>启动。</w:t>
      </w:r>
    </w:p>
    <w:p w:rsidR="004E2BDA" w:rsidRDefault="00E47BC7">
      <w:pPr>
        <w:numPr>
          <w:ilvl w:val="255"/>
          <w:numId w:val="0"/>
        </w:numPr>
        <w:autoSpaceDE w:val="0"/>
        <w:autoSpaceDN w:val="0"/>
        <w:spacing w:line="360" w:lineRule="auto"/>
        <w:ind w:firstLineChars="100" w:firstLine="240"/>
        <w:jc w:val="left"/>
        <w:rPr>
          <w:rFonts w:ascii="宋体" w:hAnsi="宋体"/>
          <w:color w:val="000000"/>
          <w:sz w:val="24"/>
        </w:rPr>
      </w:pPr>
      <w:r>
        <w:rPr>
          <w:rFonts w:ascii="宋体" w:hAnsi="宋体" w:hint="eastAsia"/>
          <w:color w:val="000000"/>
          <w:sz w:val="24"/>
        </w:rPr>
        <w:t>充电设备支持采用移动端使用状况的查询，便于提前根据充电站使用情况，合理安排充电时间。</w:t>
      </w:r>
    </w:p>
    <w:p w:rsidR="004E2BDA" w:rsidRDefault="00E47BC7">
      <w:pPr>
        <w:numPr>
          <w:ilvl w:val="255"/>
          <w:numId w:val="0"/>
        </w:numPr>
        <w:autoSpaceDE w:val="0"/>
        <w:autoSpaceDN w:val="0"/>
        <w:spacing w:line="360" w:lineRule="auto"/>
        <w:ind w:firstLineChars="100" w:firstLine="240"/>
        <w:jc w:val="left"/>
        <w:rPr>
          <w:rFonts w:ascii="宋体" w:hAnsi="宋体"/>
          <w:color w:val="000000"/>
          <w:sz w:val="24"/>
        </w:rPr>
      </w:pPr>
      <w:r>
        <w:rPr>
          <w:rFonts w:ascii="宋体" w:hAnsi="宋体" w:hint="eastAsia"/>
          <w:color w:val="000000"/>
          <w:sz w:val="24"/>
        </w:rPr>
        <w:t>充电方式设定功能，可分为自动控制充电模式和手动设置充电模式两种。</w:t>
      </w:r>
    </w:p>
    <w:p w:rsidR="004E2BDA" w:rsidRDefault="00E47BC7">
      <w:pPr>
        <w:numPr>
          <w:ilvl w:val="255"/>
          <w:numId w:val="0"/>
        </w:numPr>
        <w:autoSpaceDE w:val="0"/>
        <w:autoSpaceDN w:val="0"/>
        <w:spacing w:line="360" w:lineRule="auto"/>
        <w:ind w:firstLineChars="100" w:firstLine="240"/>
        <w:jc w:val="left"/>
        <w:rPr>
          <w:rFonts w:ascii="宋体" w:hAnsi="宋体"/>
          <w:color w:val="000000"/>
          <w:sz w:val="24"/>
        </w:rPr>
      </w:pPr>
      <w:r>
        <w:rPr>
          <w:rFonts w:ascii="宋体" w:hAnsi="宋体" w:hint="eastAsia"/>
          <w:color w:val="000000"/>
          <w:sz w:val="24"/>
        </w:rPr>
        <w:t>充电机应能根据</w:t>
      </w:r>
      <w:r>
        <w:rPr>
          <w:rFonts w:ascii="宋体" w:hAnsi="宋体"/>
          <w:color w:val="000000"/>
          <w:sz w:val="24"/>
        </w:rPr>
        <w:t>BMS</w:t>
      </w:r>
      <w:r>
        <w:rPr>
          <w:rFonts w:ascii="宋体" w:hAnsi="宋体" w:hint="eastAsia"/>
          <w:color w:val="000000"/>
          <w:sz w:val="24"/>
        </w:rPr>
        <w:t>充电电压、电流限值动态调整电压、电流实现恒功率充电模式。</w:t>
      </w:r>
    </w:p>
    <w:p w:rsidR="004E2BDA" w:rsidRDefault="00E47BC7">
      <w:pPr>
        <w:numPr>
          <w:ilvl w:val="255"/>
          <w:numId w:val="0"/>
        </w:numPr>
        <w:autoSpaceDE w:val="0"/>
        <w:autoSpaceDN w:val="0"/>
        <w:spacing w:line="360" w:lineRule="auto"/>
        <w:ind w:firstLineChars="100" w:firstLine="240"/>
        <w:jc w:val="left"/>
        <w:rPr>
          <w:rFonts w:ascii="宋体" w:hAnsi="宋体"/>
          <w:color w:val="000000"/>
          <w:sz w:val="24"/>
        </w:rPr>
      </w:pPr>
      <w:r>
        <w:rPr>
          <w:rFonts w:ascii="宋体" w:hAnsi="宋体" w:hint="eastAsia"/>
          <w:color w:val="000000"/>
          <w:sz w:val="24"/>
        </w:rPr>
        <w:t>充电模块支持热拔插功能，在其中一个模块故障时，不影响整机工作。</w:t>
      </w:r>
    </w:p>
    <w:p w:rsidR="004E2BDA" w:rsidRDefault="00677A45">
      <w:pPr>
        <w:keepNext/>
        <w:keepLines/>
        <w:spacing w:before="280" w:after="290" w:line="376" w:lineRule="auto"/>
        <w:outlineLvl w:val="3"/>
        <w:rPr>
          <w:rFonts w:ascii="宋体" w:hAnsi="宋体" w:cstheme="majorBidi"/>
          <w:b/>
          <w:bCs/>
          <w:sz w:val="24"/>
        </w:rPr>
      </w:pPr>
      <w:r>
        <w:rPr>
          <w:rFonts w:ascii="宋体" w:hAnsi="宋体" w:cstheme="majorBidi" w:hint="eastAsia"/>
          <w:b/>
          <w:bCs/>
          <w:sz w:val="24"/>
        </w:rPr>
        <w:t>2</w:t>
      </w:r>
      <w:r w:rsidR="00E47BC7">
        <w:rPr>
          <w:rFonts w:ascii="宋体" w:hAnsi="宋体" w:cstheme="majorBidi" w:hint="eastAsia"/>
          <w:b/>
          <w:bCs/>
          <w:sz w:val="24"/>
        </w:rPr>
        <w:t>.</w:t>
      </w:r>
      <w:r w:rsidR="00E47BC7">
        <w:rPr>
          <w:rFonts w:ascii="宋体" w:hAnsi="宋体" w:cstheme="majorBidi"/>
          <w:b/>
          <w:bCs/>
          <w:sz w:val="24"/>
        </w:rPr>
        <w:t>2.2</w:t>
      </w:r>
      <w:r w:rsidR="00E47BC7">
        <w:rPr>
          <w:rFonts w:ascii="宋体" w:hAnsi="宋体" w:cstheme="majorBidi" w:hint="eastAsia"/>
          <w:b/>
          <w:bCs/>
          <w:sz w:val="24"/>
        </w:rPr>
        <w:t>充电设备的保护功能</w:t>
      </w:r>
    </w:p>
    <w:p w:rsidR="004E2BDA" w:rsidRDefault="00E47BC7" w:rsidP="00302304">
      <w:pPr>
        <w:numPr>
          <w:ilvl w:val="255"/>
          <w:numId w:val="0"/>
        </w:numPr>
        <w:tabs>
          <w:tab w:val="left" w:pos="420"/>
        </w:tabs>
        <w:autoSpaceDE w:val="0"/>
        <w:autoSpaceDN w:val="0"/>
        <w:spacing w:line="360" w:lineRule="auto"/>
        <w:ind w:firstLineChars="150" w:firstLine="360"/>
        <w:jc w:val="left"/>
        <w:rPr>
          <w:rFonts w:ascii="宋体" w:hAnsi="宋体"/>
          <w:color w:val="000000"/>
          <w:sz w:val="24"/>
        </w:rPr>
      </w:pPr>
      <w:r>
        <w:rPr>
          <w:rFonts w:ascii="宋体" w:hAnsi="宋体" w:hint="eastAsia"/>
          <w:color w:val="000000"/>
          <w:sz w:val="24"/>
        </w:rPr>
        <w:t>直流充电机应具有急停功能，即在紧急情况下，可从硬件上切断充电回路；急停回路</w:t>
      </w:r>
      <w:r>
        <w:rPr>
          <w:rFonts w:ascii="宋体" w:hAnsi="宋体" w:hint="eastAsia"/>
          <w:color w:val="000000"/>
          <w:sz w:val="24"/>
        </w:rPr>
        <w:lastRenderedPageBreak/>
        <w:t>应设计在交流侧，持续工作电流应小于</w:t>
      </w:r>
      <w:r>
        <w:rPr>
          <w:rFonts w:ascii="宋体" w:hAnsi="宋体"/>
          <w:color w:val="000000"/>
          <w:sz w:val="24"/>
        </w:rPr>
        <w:t>AC380V/0.5A</w:t>
      </w:r>
      <w:r>
        <w:rPr>
          <w:rFonts w:ascii="宋体" w:hAnsi="宋体" w:hint="eastAsia"/>
          <w:color w:val="000000"/>
          <w:sz w:val="24"/>
        </w:rPr>
        <w:t>。</w:t>
      </w:r>
    </w:p>
    <w:p w:rsidR="004E2BDA" w:rsidRDefault="00E47BC7" w:rsidP="002E5C37">
      <w:pPr>
        <w:numPr>
          <w:ilvl w:val="255"/>
          <w:numId w:val="0"/>
        </w:numPr>
        <w:tabs>
          <w:tab w:val="left" w:pos="420"/>
        </w:tabs>
        <w:autoSpaceDE w:val="0"/>
        <w:autoSpaceDN w:val="0"/>
        <w:spacing w:line="360" w:lineRule="auto"/>
        <w:ind w:firstLineChars="200" w:firstLine="480"/>
        <w:jc w:val="left"/>
        <w:rPr>
          <w:rFonts w:ascii="宋体" w:hAnsi="宋体"/>
          <w:color w:val="000000"/>
          <w:sz w:val="24"/>
        </w:rPr>
      </w:pPr>
      <w:r>
        <w:rPr>
          <w:rFonts w:ascii="宋体" w:hAnsi="宋体" w:hint="eastAsia"/>
          <w:color w:val="000000"/>
          <w:sz w:val="24"/>
        </w:rPr>
        <w:t>直流充电机在停止充电后输出端应确保无电流输出或回灌。</w:t>
      </w:r>
    </w:p>
    <w:p w:rsidR="004E2BDA" w:rsidRDefault="00E47BC7" w:rsidP="002E5C37">
      <w:pPr>
        <w:numPr>
          <w:ilvl w:val="255"/>
          <w:numId w:val="0"/>
        </w:numPr>
        <w:tabs>
          <w:tab w:val="left" w:pos="420"/>
        </w:tabs>
        <w:autoSpaceDE w:val="0"/>
        <w:autoSpaceDN w:val="0"/>
        <w:spacing w:line="360" w:lineRule="auto"/>
        <w:ind w:firstLineChars="200" w:firstLine="480"/>
        <w:jc w:val="left"/>
        <w:rPr>
          <w:rFonts w:ascii="宋体" w:hAnsi="宋体"/>
          <w:color w:val="000000"/>
          <w:sz w:val="24"/>
        </w:rPr>
      </w:pPr>
      <w:r>
        <w:rPr>
          <w:rFonts w:ascii="宋体" w:hAnsi="宋体" w:hint="eastAsia"/>
          <w:color w:val="000000"/>
          <w:sz w:val="24"/>
        </w:rPr>
        <w:t>应具备交流输入过</w:t>
      </w:r>
      <w:r>
        <w:rPr>
          <w:rFonts w:ascii="宋体" w:hAnsi="宋体"/>
          <w:color w:val="000000"/>
          <w:sz w:val="24"/>
        </w:rPr>
        <w:t>/</w:t>
      </w:r>
      <w:r>
        <w:rPr>
          <w:rFonts w:ascii="宋体" w:hAnsi="宋体" w:hint="eastAsia"/>
          <w:color w:val="000000"/>
          <w:sz w:val="24"/>
        </w:rPr>
        <w:t>欠压保护、直流输出过欠</w:t>
      </w:r>
      <w:r>
        <w:rPr>
          <w:rFonts w:ascii="宋体" w:hAnsi="宋体"/>
          <w:color w:val="000000"/>
          <w:sz w:val="24"/>
        </w:rPr>
        <w:t>/</w:t>
      </w:r>
      <w:r>
        <w:rPr>
          <w:rFonts w:ascii="宋体" w:hAnsi="宋体" w:hint="eastAsia"/>
          <w:color w:val="000000"/>
          <w:sz w:val="24"/>
        </w:rPr>
        <w:t>压保护、设置直流输出限压</w:t>
      </w:r>
      <w:r>
        <w:rPr>
          <w:rFonts w:ascii="宋体" w:hAnsi="宋体"/>
          <w:color w:val="000000"/>
          <w:sz w:val="24"/>
        </w:rPr>
        <w:t>/</w:t>
      </w:r>
      <w:r>
        <w:rPr>
          <w:rFonts w:ascii="宋体" w:hAnsi="宋体" w:hint="eastAsia"/>
          <w:color w:val="000000"/>
          <w:sz w:val="24"/>
        </w:rPr>
        <w:t>限流值、过负荷保护、短路保护、漏电保护防倒灌保护、防雷保护、过热保护、电池反接、电池故障、电源缺相、断电重启等保护功能。</w:t>
      </w:r>
    </w:p>
    <w:p w:rsidR="004E2BDA" w:rsidRDefault="00E47BC7" w:rsidP="002E5C37">
      <w:pPr>
        <w:numPr>
          <w:ilvl w:val="255"/>
          <w:numId w:val="0"/>
        </w:numPr>
        <w:tabs>
          <w:tab w:val="left" w:pos="420"/>
        </w:tabs>
        <w:autoSpaceDE w:val="0"/>
        <w:autoSpaceDN w:val="0"/>
        <w:spacing w:line="360" w:lineRule="auto"/>
        <w:ind w:firstLineChars="200" w:firstLine="480"/>
        <w:jc w:val="left"/>
        <w:rPr>
          <w:rFonts w:ascii="宋体" w:hAnsi="宋体"/>
          <w:color w:val="000000"/>
          <w:sz w:val="24"/>
        </w:rPr>
      </w:pPr>
      <w:r>
        <w:rPr>
          <w:rFonts w:ascii="宋体" w:hAnsi="宋体" w:hint="eastAsia"/>
          <w:color w:val="000000"/>
          <w:sz w:val="24"/>
        </w:rPr>
        <w:t>充电过程中，充电连接异常时，直流充电机应立即自动切断输出电源，并告警提示。</w:t>
      </w:r>
    </w:p>
    <w:p w:rsidR="004E2BDA" w:rsidRDefault="00E47BC7" w:rsidP="002E5C37">
      <w:pPr>
        <w:numPr>
          <w:ilvl w:val="255"/>
          <w:numId w:val="0"/>
        </w:numPr>
        <w:tabs>
          <w:tab w:val="left" w:pos="420"/>
        </w:tabs>
        <w:autoSpaceDE w:val="0"/>
        <w:autoSpaceDN w:val="0"/>
        <w:spacing w:line="360" w:lineRule="auto"/>
        <w:ind w:firstLineChars="200" w:firstLine="480"/>
        <w:jc w:val="left"/>
        <w:rPr>
          <w:rFonts w:ascii="宋体" w:hAnsi="宋体"/>
          <w:color w:val="000000"/>
          <w:sz w:val="24"/>
        </w:rPr>
      </w:pPr>
      <w:r>
        <w:rPr>
          <w:rFonts w:ascii="宋体" w:hAnsi="宋体" w:hint="eastAsia"/>
          <w:color w:val="000000"/>
          <w:sz w:val="24"/>
        </w:rPr>
        <w:t>应具备充电侧绝缘检测功能。</w:t>
      </w:r>
    </w:p>
    <w:p w:rsidR="004E2BDA" w:rsidRDefault="00E47BC7" w:rsidP="002E5C37">
      <w:pPr>
        <w:numPr>
          <w:ilvl w:val="255"/>
          <w:numId w:val="0"/>
        </w:numPr>
        <w:autoSpaceDE w:val="0"/>
        <w:autoSpaceDN w:val="0"/>
        <w:spacing w:line="360" w:lineRule="auto"/>
        <w:ind w:firstLineChars="200" w:firstLine="480"/>
        <w:jc w:val="left"/>
        <w:rPr>
          <w:rFonts w:ascii="宋体" w:hAnsi="宋体"/>
          <w:color w:val="000000"/>
          <w:sz w:val="24"/>
        </w:rPr>
      </w:pPr>
      <w:r>
        <w:rPr>
          <w:rFonts w:ascii="宋体" w:hAnsi="宋体" w:hint="eastAsia"/>
          <w:color w:val="000000"/>
          <w:sz w:val="24"/>
        </w:rPr>
        <w:t>应在负载紧急跳开的情况下确保不损坏电路和元器件；</w:t>
      </w:r>
    </w:p>
    <w:p w:rsidR="004E2BDA" w:rsidRDefault="00E47BC7" w:rsidP="002E5C37">
      <w:pPr>
        <w:numPr>
          <w:ilvl w:val="255"/>
          <w:numId w:val="0"/>
        </w:numPr>
        <w:tabs>
          <w:tab w:val="left" w:pos="420"/>
        </w:tabs>
        <w:autoSpaceDE w:val="0"/>
        <w:autoSpaceDN w:val="0"/>
        <w:spacing w:line="360" w:lineRule="auto"/>
        <w:ind w:firstLineChars="200" w:firstLine="480"/>
        <w:jc w:val="left"/>
        <w:rPr>
          <w:rFonts w:ascii="宋体" w:hAnsi="宋体"/>
          <w:color w:val="000000"/>
          <w:sz w:val="24"/>
        </w:rPr>
      </w:pPr>
      <w:r>
        <w:rPr>
          <w:rFonts w:ascii="宋体" w:hAnsi="宋体" w:hint="eastAsia"/>
          <w:color w:val="000000"/>
          <w:sz w:val="24"/>
        </w:rPr>
        <w:t>充电插头与充电接口连接或断开时，充电接口不应带电，并进行连接或断开确认；在充电状态下断开充电插头，充电设备应即时断开相应充电接口的负荷开关，中断充电过程；当充电接口连接异常时，充电设备应立即自动切断相应充电接口的输出电源。</w:t>
      </w:r>
    </w:p>
    <w:p w:rsidR="004E2BDA" w:rsidRDefault="00677A45">
      <w:pPr>
        <w:keepNext/>
        <w:keepLines/>
        <w:spacing w:before="280" w:after="290" w:line="376" w:lineRule="auto"/>
        <w:outlineLvl w:val="3"/>
        <w:rPr>
          <w:rFonts w:ascii="宋体" w:hAnsi="宋体" w:cstheme="majorBidi"/>
          <w:b/>
          <w:bCs/>
          <w:sz w:val="24"/>
        </w:rPr>
      </w:pPr>
      <w:r>
        <w:rPr>
          <w:rFonts w:ascii="宋体" w:hAnsi="宋体" w:cstheme="majorBidi" w:hint="eastAsia"/>
          <w:b/>
          <w:bCs/>
          <w:sz w:val="24"/>
        </w:rPr>
        <w:t>2</w:t>
      </w:r>
      <w:r w:rsidR="00E47BC7">
        <w:rPr>
          <w:rFonts w:ascii="宋体" w:hAnsi="宋体" w:cstheme="majorBidi" w:hint="eastAsia"/>
          <w:b/>
          <w:bCs/>
          <w:sz w:val="24"/>
        </w:rPr>
        <w:t>.</w:t>
      </w:r>
      <w:r w:rsidR="00E47BC7">
        <w:rPr>
          <w:rFonts w:ascii="宋体" w:hAnsi="宋体" w:cstheme="majorBidi"/>
          <w:b/>
          <w:bCs/>
          <w:sz w:val="24"/>
        </w:rPr>
        <w:t>2.3</w:t>
      </w:r>
      <w:r w:rsidR="00E47BC7">
        <w:rPr>
          <w:rFonts w:ascii="宋体" w:hAnsi="宋体" w:cstheme="majorBidi" w:hint="eastAsia"/>
          <w:b/>
          <w:bCs/>
          <w:sz w:val="24"/>
        </w:rPr>
        <w:t>充电设备的计量收费功能</w:t>
      </w:r>
    </w:p>
    <w:p w:rsidR="004E2BDA" w:rsidRDefault="00E47BC7" w:rsidP="002E5C37">
      <w:pPr>
        <w:numPr>
          <w:ilvl w:val="255"/>
          <w:numId w:val="0"/>
        </w:numPr>
        <w:autoSpaceDE w:val="0"/>
        <w:autoSpaceDN w:val="0"/>
        <w:spacing w:line="360" w:lineRule="auto"/>
        <w:ind w:firstLineChars="200" w:firstLine="480"/>
        <w:jc w:val="left"/>
        <w:rPr>
          <w:rFonts w:ascii="宋体" w:hAnsi="宋体"/>
          <w:color w:val="000000"/>
          <w:sz w:val="24"/>
        </w:rPr>
      </w:pPr>
      <w:r>
        <w:rPr>
          <w:rFonts w:ascii="宋体" w:hAnsi="宋体" w:hint="eastAsia"/>
          <w:color w:val="000000"/>
          <w:sz w:val="24"/>
        </w:rPr>
        <w:t>电能计量装置应符合国家计量器具鉴定相关要求，保证电能计量准确性。</w:t>
      </w:r>
    </w:p>
    <w:p w:rsidR="004E2BDA" w:rsidRDefault="00E47BC7" w:rsidP="002E5C37">
      <w:pPr>
        <w:numPr>
          <w:ilvl w:val="255"/>
          <w:numId w:val="0"/>
        </w:numPr>
        <w:autoSpaceDE w:val="0"/>
        <w:autoSpaceDN w:val="0"/>
        <w:spacing w:line="360" w:lineRule="auto"/>
        <w:ind w:firstLineChars="200" w:firstLine="480"/>
        <w:jc w:val="left"/>
        <w:rPr>
          <w:rFonts w:ascii="宋体" w:hAnsi="宋体"/>
          <w:color w:val="000000"/>
          <w:sz w:val="24"/>
        </w:rPr>
      </w:pPr>
      <w:r>
        <w:rPr>
          <w:rFonts w:ascii="宋体" w:hAnsi="宋体" w:hint="eastAsia"/>
          <w:color w:val="000000"/>
          <w:sz w:val="24"/>
        </w:rPr>
        <w:t>计量收费结算可通过本地计量，平台系统结算。</w:t>
      </w:r>
    </w:p>
    <w:p w:rsidR="004E2BDA" w:rsidRDefault="00E47BC7" w:rsidP="002E5C37">
      <w:pPr>
        <w:numPr>
          <w:ilvl w:val="255"/>
          <w:numId w:val="0"/>
        </w:numPr>
        <w:autoSpaceDE w:val="0"/>
        <w:autoSpaceDN w:val="0"/>
        <w:spacing w:line="360" w:lineRule="auto"/>
        <w:ind w:firstLineChars="200" w:firstLine="480"/>
        <w:jc w:val="left"/>
        <w:rPr>
          <w:rFonts w:ascii="宋体" w:hAnsi="宋体"/>
          <w:color w:val="000000"/>
          <w:sz w:val="24"/>
        </w:rPr>
      </w:pPr>
      <w:r>
        <w:rPr>
          <w:rFonts w:ascii="宋体" w:hAnsi="宋体" w:hint="eastAsia"/>
          <w:color w:val="000000"/>
          <w:sz w:val="24"/>
        </w:rPr>
        <w:t>计量表计满足充电设备对上传速率、规约等要求。</w:t>
      </w:r>
    </w:p>
    <w:p w:rsidR="004E2BDA" w:rsidRDefault="00E47BC7" w:rsidP="002E5C37">
      <w:pPr>
        <w:numPr>
          <w:ilvl w:val="255"/>
          <w:numId w:val="0"/>
        </w:numPr>
        <w:autoSpaceDE w:val="0"/>
        <w:autoSpaceDN w:val="0"/>
        <w:spacing w:line="360" w:lineRule="auto"/>
        <w:ind w:firstLineChars="200" w:firstLine="480"/>
        <w:jc w:val="left"/>
        <w:rPr>
          <w:rFonts w:ascii="宋体" w:hAnsi="宋体"/>
          <w:color w:val="000000"/>
          <w:sz w:val="24"/>
        </w:rPr>
      </w:pPr>
      <w:r>
        <w:rPr>
          <w:rFonts w:ascii="宋体" w:hAnsi="宋体" w:hint="eastAsia"/>
          <w:color w:val="000000"/>
          <w:sz w:val="24"/>
        </w:rPr>
        <w:t>电能表具备通信功能，通信接口为</w:t>
      </w:r>
      <w:r>
        <w:rPr>
          <w:rFonts w:ascii="宋体" w:hAnsi="宋体"/>
          <w:color w:val="000000"/>
          <w:sz w:val="24"/>
        </w:rPr>
        <w:t>RS485</w:t>
      </w:r>
      <w:r>
        <w:rPr>
          <w:rFonts w:ascii="宋体" w:hAnsi="宋体" w:hint="eastAsia"/>
          <w:color w:val="000000"/>
          <w:sz w:val="24"/>
        </w:rPr>
        <w:t>，通信协议应符合</w:t>
      </w:r>
      <w:r>
        <w:rPr>
          <w:rFonts w:ascii="宋体" w:hAnsi="宋体"/>
          <w:color w:val="000000"/>
          <w:sz w:val="24"/>
        </w:rPr>
        <w:t>DL/T 645-2007</w:t>
      </w:r>
      <w:r>
        <w:rPr>
          <w:rFonts w:ascii="宋体" w:hAnsi="宋体" w:hint="eastAsia"/>
          <w:color w:val="000000"/>
          <w:sz w:val="24"/>
        </w:rPr>
        <w:t>《多功能电能表通讯协议》。</w:t>
      </w:r>
    </w:p>
    <w:p w:rsidR="004E2BDA" w:rsidRDefault="00E47BC7" w:rsidP="002E5C37">
      <w:pPr>
        <w:numPr>
          <w:ilvl w:val="255"/>
          <w:numId w:val="0"/>
        </w:numPr>
        <w:autoSpaceDE w:val="0"/>
        <w:autoSpaceDN w:val="0"/>
        <w:spacing w:line="360" w:lineRule="auto"/>
        <w:ind w:firstLineChars="250" w:firstLine="600"/>
        <w:jc w:val="left"/>
        <w:rPr>
          <w:rFonts w:ascii="宋体" w:hAnsi="宋体"/>
          <w:color w:val="000000"/>
          <w:sz w:val="24"/>
        </w:rPr>
      </w:pPr>
      <w:r>
        <w:rPr>
          <w:rFonts w:ascii="宋体" w:hAnsi="宋体" w:hint="eastAsia"/>
          <w:color w:val="000000"/>
          <w:sz w:val="24"/>
        </w:rPr>
        <w:t>平台可对设备采集电能表电量数据，电量数据与界面显示同步一致。</w:t>
      </w:r>
    </w:p>
    <w:p w:rsidR="004E2BDA" w:rsidRDefault="00677A45">
      <w:pPr>
        <w:keepNext/>
        <w:keepLines/>
        <w:spacing w:before="280" w:after="290" w:line="376" w:lineRule="auto"/>
        <w:outlineLvl w:val="3"/>
        <w:rPr>
          <w:rFonts w:ascii="宋体" w:hAnsi="宋体" w:cstheme="majorBidi"/>
          <w:b/>
          <w:bCs/>
          <w:sz w:val="24"/>
        </w:rPr>
      </w:pPr>
      <w:r>
        <w:rPr>
          <w:rFonts w:ascii="宋体" w:hAnsi="宋体" w:cstheme="majorBidi" w:hint="eastAsia"/>
          <w:b/>
          <w:bCs/>
          <w:sz w:val="24"/>
        </w:rPr>
        <w:t>2</w:t>
      </w:r>
      <w:r w:rsidR="00E47BC7">
        <w:rPr>
          <w:rFonts w:ascii="宋体" w:hAnsi="宋体" w:cstheme="majorBidi" w:hint="eastAsia"/>
          <w:b/>
          <w:bCs/>
          <w:sz w:val="24"/>
        </w:rPr>
        <w:t>.</w:t>
      </w:r>
      <w:r w:rsidR="00E47BC7">
        <w:rPr>
          <w:rFonts w:ascii="宋体" w:hAnsi="宋体" w:cstheme="majorBidi"/>
          <w:b/>
          <w:bCs/>
          <w:sz w:val="24"/>
        </w:rPr>
        <w:t>2.4</w:t>
      </w:r>
      <w:r w:rsidR="00E47BC7">
        <w:rPr>
          <w:rFonts w:ascii="宋体" w:hAnsi="宋体" w:cstheme="majorBidi" w:hint="eastAsia"/>
          <w:b/>
          <w:bCs/>
          <w:sz w:val="24"/>
        </w:rPr>
        <w:t>充电桩的智能功能</w:t>
      </w:r>
    </w:p>
    <w:p w:rsidR="004E2BDA" w:rsidRDefault="00E47BC7" w:rsidP="002E5C37">
      <w:pPr>
        <w:numPr>
          <w:ilvl w:val="255"/>
          <w:numId w:val="0"/>
        </w:numPr>
        <w:autoSpaceDE w:val="0"/>
        <w:autoSpaceDN w:val="0"/>
        <w:spacing w:line="360" w:lineRule="auto"/>
        <w:ind w:firstLineChars="200" w:firstLine="480"/>
        <w:jc w:val="left"/>
        <w:rPr>
          <w:rFonts w:ascii="宋体" w:hAnsi="宋体"/>
          <w:color w:val="000000"/>
          <w:sz w:val="24"/>
        </w:rPr>
      </w:pPr>
      <w:r>
        <w:rPr>
          <w:rFonts w:ascii="宋体" w:hAnsi="宋体" w:hint="eastAsia"/>
          <w:color w:val="000000"/>
          <w:sz w:val="24"/>
        </w:rPr>
        <w:t>充电设备应具备自动检测功能。</w:t>
      </w:r>
    </w:p>
    <w:p w:rsidR="004E2BDA" w:rsidRDefault="00E47BC7" w:rsidP="002E5C37">
      <w:pPr>
        <w:numPr>
          <w:ilvl w:val="255"/>
          <w:numId w:val="0"/>
        </w:numPr>
        <w:autoSpaceDE w:val="0"/>
        <w:autoSpaceDN w:val="0"/>
        <w:spacing w:line="360" w:lineRule="auto"/>
        <w:ind w:firstLineChars="200" w:firstLine="480"/>
        <w:jc w:val="left"/>
        <w:rPr>
          <w:rFonts w:ascii="宋体" w:hAnsi="宋体"/>
          <w:color w:val="000000"/>
          <w:sz w:val="24"/>
        </w:rPr>
      </w:pPr>
      <w:r>
        <w:rPr>
          <w:rFonts w:ascii="宋体" w:hAnsi="宋体" w:hint="eastAsia"/>
          <w:color w:val="000000"/>
          <w:sz w:val="24"/>
        </w:rPr>
        <w:t>充电设备应具备故障报警功能。</w:t>
      </w:r>
    </w:p>
    <w:p w:rsidR="004E2BDA" w:rsidRDefault="00E47BC7" w:rsidP="002E5C37">
      <w:pPr>
        <w:numPr>
          <w:ilvl w:val="255"/>
          <w:numId w:val="0"/>
        </w:numPr>
        <w:autoSpaceDE w:val="0"/>
        <w:autoSpaceDN w:val="0"/>
        <w:spacing w:line="360" w:lineRule="auto"/>
        <w:ind w:firstLineChars="200" w:firstLine="480"/>
        <w:jc w:val="left"/>
        <w:rPr>
          <w:rFonts w:ascii="宋体" w:hAnsi="宋体"/>
          <w:color w:val="000000"/>
          <w:sz w:val="24"/>
        </w:rPr>
      </w:pPr>
      <w:r>
        <w:rPr>
          <w:rFonts w:ascii="宋体" w:hAnsi="宋体" w:hint="eastAsia"/>
          <w:color w:val="000000"/>
          <w:sz w:val="24"/>
        </w:rPr>
        <w:t>直流充电机配置平台联网通讯功能</w:t>
      </w:r>
      <w:r>
        <w:rPr>
          <w:rFonts w:ascii="宋体" w:hAnsi="宋体"/>
          <w:color w:val="000000"/>
          <w:sz w:val="24"/>
        </w:rPr>
        <w:t>,</w:t>
      </w:r>
      <w:r>
        <w:rPr>
          <w:rFonts w:ascii="宋体" w:hAnsi="宋体" w:hint="eastAsia"/>
          <w:color w:val="000000"/>
          <w:sz w:val="24"/>
        </w:rPr>
        <w:t>数据记录与上传功能。主要上传数据项包括充电开始时间、充电结束时间、充电电量、起始</w:t>
      </w:r>
      <w:r>
        <w:rPr>
          <w:rFonts w:ascii="宋体" w:hAnsi="宋体"/>
          <w:color w:val="000000"/>
          <w:sz w:val="24"/>
        </w:rPr>
        <w:t>soc</w:t>
      </w:r>
      <w:r>
        <w:rPr>
          <w:rFonts w:ascii="宋体" w:hAnsi="宋体" w:hint="eastAsia"/>
          <w:color w:val="000000"/>
          <w:sz w:val="24"/>
        </w:rPr>
        <w:t>值、输出电压、输出电流、充电时长、充电设备实时状态（未连接、空闲、充电、预约锁定、故障等）、刷卡信息、电表读数等。</w:t>
      </w:r>
    </w:p>
    <w:p w:rsidR="004E2BDA" w:rsidRDefault="00677A45">
      <w:pPr>
        <w:keepNext/>
        <w:keepLines/>
        <w:numPr>
          <w:ilvl w:val="255"/>
          <w:numId w:val="0"/>
        </w:numPr>
        <w:spacing w:before="280" w:after="290" w:line="376" w:lineRule="auto"/>
        <w:jc w:val="left"/>
        <w:outlineLvl w:val="3"/>
        <w:rPr>
          <w:rFonts w:ascii="宋体" w:hAnsi="宋体"/>
          <w:color w:val="000000"/>
          <w:sz w:val="24"/>
        </w:rPr>
      </w:pPr>
      <w:r>
        <w:rPr>
          <w:rFonts w:ascii="宋体" w:hAnsi="宋体" w:cstheme="majorBidi" w:hint="eastAsia"/>
          <w:b/>
          <w:bCs/>
          <w:sz w:val="24"/>
        </w:rPr>
        <w:lastRenderedPageBreak/>
        <w:t>2</w:t>
      </w:r>
      <w:r w:rsidR="00E47BC7">
        <w:rPr>
          <w:rFonts w:ascii="宋体" w:hAnsi="宋体" w:cstheme="majorBidi"/>
          <w:b/>
          <w:bCs/>
          <w:sz w:val="24"/>
        </w:rPr>
        <w:t>.</w:t>
      </w:r>
      <w:r w:rsidR="002E5C37">
        <w:rPr>
          <w:rFonts w:ascii="宋体" w:hAnsi="宋体" w:cstheme="majorBidi" w:hint="eastAsia"/>
          <w:b/>
          <w:bCs/>
          <w:sz w:val="24"/>
        </w:rPr>
        <w:t>3</w:t>
      </w:r>
      <w:r w:rsidR="00E47BC7">
        <w:rPr>
          <w:rFonts w:ascii="宋体" w:hAnsi="宋体" w:cstheme="majorBidi" w:hint="eastAsia"/>
          <w:b/>
          <w:bCs/>
          <w:sz w:val="24"/>
        </w:rPr>
        <w:t>软件升级功能：</w:t>
      </w:r>
      <w:r w:rsidR="00E47BC7">
        <w:rPr>
          <w:rFonts w:ascii="宋体" w:hAnsi="宋体" w:hint="eastAsia"/>
          <w:color w:val="000000"/>
          <w:sz w:val="24"/>
        </w:rPr>
        <w:t>设备应具有本地和远程升级功能</w:t>
      </w:r>
    </w:p>
    <w:p w:rsidR="004E2BDA" w:rsidRDefault="00677A45">
      <w:pPr>
        <w:keepNext/>
        <w:keepLines/>
        <w:spacing w:before="280" w:after="290" w:line="376" w:lineRule="auto"/>
        <w:outlineLvl w:val="3"/>
        <w:rPr>
          <w:rFonts w:ascii="宋体" w:hAnsi="宋体" w:cstheme="majorBidi"/>
          <w:b/>
          <w:bCs/>
          <w:sz w:val="24"/>
        </w:rPr>
      </w:pPr>
      <w:r>
        <w:rPr>
          <w:rFonts w:ascii="宋体" w:hAnsi="宋体" w:cstheme="majorBidi" w:hint="eastAsia"/>
          <w:b/>
          <w:bCs/>
          <w:sz w:val="24"/>
        </w:rPr>
        <w:t>2</w:t>
      </w:r>
      <w:r w:rsidR="00E47BC7">
        <w:rPr>
          <w:rFonts w:ascii="宋体" w:hAnsi="宋体" w:cstheme="majorBidi"/>
          <w:b/>
          <w:bCs/>
          <w:sz w:val="24"/>
        </w:rPr>
        <w:t>.</w:t>
      </w:r>
      <w:r w:rsidR="002E5C37">
        <w:rPr>
          <w:rFonts w:ascii="宋体" w:hAnsi="宋体" w:cstheme="majorBidi" w:hint="eastAsia"/>
          <w:b/>
          <w:bCs/>
          <w:sz w:val="24"/>
        </w:rPr>
        <w:t>4</w:t>
      </w:r>
      <w:r w:rsidR="00E47BC7">
        <w:rPr>
          <w:rFonts w:ascii="宋体" w:hAnsi="宋体" w:cstheme="majorBidi" w:hint="eastAsia"/>
          <w:b/>
          <w:bCs/>
          <w:sz w:val="24"/>
        </w:rPr>
        <w:t>其它要求</w:t>
      </w:r>
    </w:p>
    <w:p w:rsidR="004E2BDA" w:rsidRDefault="00E47BC7" w:rsidP="002E5C37">
      <w:pPr>
        <w:numPr>
          <w:ilvl w:val="255"/>
          <w:numId w:val="0"/>
        </w:numPr>
        <w:autoSpaceDE w:val="0"/>
        <w:autoSpaceDN w:val="0"/>
        <w:spacing w:line="360" w:lineRule="auto"/>
        <w:ind w:firstLineChars="200" w:firstLine="480"/>
        <w:jc w:val="left"/>
        <w:rPr>
          <w:rFonts w:ascii="宋体" w:hAnsi="宋体"/>
          <w:color w:val="000000"/>
          <w:sz w:val="24"/>
        </w:rPr>
      </w:pPr>
      <w:r>
        <w:rPr>
          <w:rFonts w:ascii="宋体" w:hAnsi="宋体" w:hint="eastAsia"/>
          <w:color w:val="000000"/>
          <w:sz w:val="24"/>
        </w:rPr>
        <w:t>充电连接装置：满足国标</w:t>
      </w:r>
      <w:r>
        <w:rPr>
          <w:rFonts w:ascii="宋体" w:hAnsi="宋体" w:cs="宋体"/>
          <w:color w:val="000000"/>
          <w:sz w:val="24"/>
        </w:rPr>
        <w:t>GB/T 20234.3-2015</w:t>
      </w:r>
      <w:r>
        <w:rPr>
          <w:rFonts w:ascii="宋体" w:hAnsi="宋体" w:cs="宋体" w:hint="eastAsia"/>
          <w:color w:val="000000"/>
          <w:sz w:val="24"/>
        </w:rPr>
        <w:t>电动汽车传导充电用连接装置第</w:t>
      </w:r>
      <w:r>
        <w:rPr>
          <w:rFonts w:ascii="宋体" w:hAnsi="宋体" w:cs="宋体"/>
          <w:color w:val="000000"/>
          <w:sz w:val="24"/>
        </w:rPr>
        <w:t>3</w:t>
      </w:r>
      <w:r>
        <w:rPr>
          <w:rFonts w:ascii="宋体" w:hAnsi="宋体" w:cs="宋体" w:hint="eastAsia"/>
          <w:color w:val="000000"/>
          <w:sz w:val="24"/>
        </w:rPr>
        <w:t>部分：直流充电接口要求。</w:t>
      </w:r>
    </w:p>
    <w:p w:rsidR="004E2BDA" w:rsidRDefault="00E47BC7" w:rsidP="00302304">
      <w:pPr>
        <w:numPr>
          <w:ilvl w:val="255"/>
          <w:numId w:val="0"/>
        </w:numPr>
        <w:autoSpaceDE w:val="0"/>
        <w:autoSpaceDN w:val="0"/>
        <w:spacing w:line="360" w:lineRule="auto"/>
        <w:ind w:firstLineChars="200" w:firstLine="480"/>
        <w:jc w:val="left"/>
        <w:rPr>
          <w:rFonts w:ascii="宋体" w:hAnsi="宋体"/>
          <w:color w:val="000000"/>
          <w:sz w:val="24"/>
        </w:rPr>
      </w:pPr>
      <w:r>
        <w:rPr>
          <w:rFonts w:ascii="宋体" w:hAnsi="宋体" w:hint="eastAsia"/>
          <w:color w:val="000000"/>
          <w:sz w:val="24"/>
        </w:rPr>
        <w:t>充电设备</w:t>
      </w:r>
      <w:r w:rsidR="00302304">
        <w:rPr>
          <w:rFonts w:ascii="宋体" w:hAnsi="宋体" w:hint="eastAsia"/>
          <w:color w:val="000000"/>
          <w:sz w:val="24"/>
        </w:rPr>
        <w:t>：</w:t>
      </w:r>
      <w:r>
        <w:rPr>
          <w:rFonts w:ascii="宋体" w:hAnsi="宋体" w:hint="eastAsia"/>
          <w:color w:val="000000"/>
          <w:sz w:val="24"/>
        </w:rPr>
        <w:t>设备体应外观线条流畅、整体紧凑、简洁时尚，与安装地点周边环境相协调。设备体应具备安装</w:t>
      </w:r>
      <w:r>
        <w:rPr>
          <w:rFonts w:ascii="宋体" w:hAnsi="宋体"/>
          <w:color w:val="000000"/>
          <w:sz w:val="24"/>
        </w:rPr>
        <w:t>2G/3G/4G</w:t>
      </w:r>
      <w:r>
        <w:rPr>
          <w:rFonts w:ascii="宋体" w:hAnsi="宋体" w:hint="eastAsia"/>
          <w:color w:val="000000"/>
          <w:sz w:val="24"/>
        </w:rPr>
        <w:t>或有线通信模块，可以与充电服务运营管理系统建立通讯。设备体内部线束，应排布整齐、规整，标识清楚，捆扎牢固。设备体内元器件应布局合理，易耗易损元件方便更换。设备体安装于户外时，应便于特殊天气条件下的日常维护。设备体应采用抗冲击力强、抗老化的材质。设备体表面涂覆色泽层应均匀光洁，不起泡、不龟裂、不脱落。设备体结构设计及安装应具备防盗能力。非绝缘材料外壳应可靠接地，结构上应防止操作人员触及带电部件。人机交互的操作按键和显示界面应设置在便于人操作和查看的</w:t>
      </w:r>
      <w:r>
        <w:rPr>
          <w:rFonts w:ascii="宋体" w:hAnsi="宋体"/>
          <w:color w:val="000000"/>
          <w:sz w:val="24"/>
        </w:rPr>
        <w:t>位置</w:t>
      </w:r>
      <w:r>
        <w:rPr>
          <w:rFonts w:ascii="宋体" w:hAnsi="宋体" w:hint="eastAsia"/>
          <w:color w:val="000000"/>
          <w:sz w:val="24"/>
        </w:rPr>
        <w:t>。</w:t>
      </w:r>
    </w:p>
    <w:p w:rsidR="004E2BDA" w:rsidRDefault="00E47BC7" w:rsidP="00302304">
      <w:pPr>
        <w:numPr>
          <w:ilvl w:val="255"/>
          <w:numId w:val="0"/>
        </w:numPr>
        <w:autoSpaceDE w:val="0"/>
        <w:autoSpaceDN w:val="0"/>
        <w:spacing w:line="360" w:lineRule="auto"/>
        <w:ind w:firstLineChars="200" w:firstLine="480"/>
        <w:jc w:val="left"/>
        <w:rPr>
          <w:rFonts w:ascii="宋体" w:hAnsi="宋体"/>
          <w:color w:val="000000"/>
          <w:sz w:val="24"/>
        </w:rPr>
      </w:pPr>
      <w:r>
        <w:rPr>
          <w:rFonts w:ascii="宋体" w:hAnsi="宋体" w:hint="eastAsia"/>
          <w:color w:val="000000"/>
          <w:sz w:val="24"/>
        </w:rPr>
        <w:t>通风口要求</w:t>
      </w:r>
      <w:r w:rsidR="00302304">
        <w:rPr>
          <w:rFonts w:ascii="宋体" w:hAnsi="宋体" w:hint="eastAsia"/>
          <w:color w:val="000000"/>
          <w:sz w:val="24"/>
        </w:rPr>
        <w:t>：</w:t>
      </w:r>
      <w:r>
        <w:rPr>
          <w:rFonts w:ascii="宋体" w:hAnsi="宋体" w:hint="eastAsia"/>
          <w:color w:val="000000"/>
          <w:sz w:val="24"/>
        </w:rPr>
        <w:t>各通风口处开百叶窗式通风孔，且加装防尘网或其他装置，以满足防护等级的要求。防尘网或其它装置应有耐腐蚀性，考虑可替换或方便清理。</w:t>
      </w:r>
    </w:p>
    <w:p w:rsidR="004E2BDA" w:rsidRDefault="00E47BC7" w:rsidP="00302304">
      <w:pPr>
        <w:autoSpaceDE w:val="0"/>
        <w:autoSpaceDN w:val="0"/>
        <w:spacing w:line="360" w:lineRule="auto"/>
        <w:ind w:firstLineChars="200" w:firstLine="480"/>
        <w:jc w:val="left"/>
        <w:rPr>
          <w:rFonts w:ascii="宋体" w:hAnsi="宋体"/>
          <w:color w:val="000000"/>
          <w:sz w:val="24"/>
        </w:rPr>
      </w:pPr>
      <w:r>
        <w:rPr>
          <w:rFonts w:ascii="宋体" w:hAnsi="宋体" w:hint="eastAsia"/>
          <w:color w:val="000000"/>
          <w:sz w:val="24"/>
        </w:rPr>
        <w:t>指示灯要求：具有红、黄、绿三种颜色指示灯功能，其中：红色指示灯表示电源状态，充电机供电正常时亮；黄色指示灯表示充电机有故障</w:t>
      </w:r>
      <w:r w:rsidR="00302304">
        <w:rPr>
          <w:rFonts w:ascii="宋体" w:hAnsi="宋体" w:hint="eastAsia"/>
          <w:color w:val="000000"/>
          <w:sz w:val="24"/>
        </w:rPr>
        <w:t>；</w:t>
      </w:r>
      <w:r>
        <w:rPr>
          <w:rFonts w:ascii="宋体" w:hAnsi="宋体" w:hint="eastAsia"/>
          <w:color w:val="000000"/>
          <w:sz w:val="24"/>
        </w:rPr>
        <w:t>绿色指示灯表示正在充电中</w:t>
      </w:r>
      <w:r w:rsidR="00302304">
        <w:rPr>
          <w:rFonts w:ascii="宋体" w:hAnsi="宋体" w:hint="eastAsia"/>
          <w:color w:val="000000"/>
          <w:sz w:val="24"/>
        </w:rPr>
        <w:t>。</w:t>
      </w:r>
    </w:p>
    <w:p w:rsidR="004E2BDA" w:rsidRDefault="00E47BC7" w:rsidP="00302304">
      <w:pPr>
        <w:numPr>
          <w:ilvl w:val="255"/>
          <w:numId w:val="0"/>
        </w:numPr>
        <w:autoSpaceDE w:val="0"/>
        <w:autoSpaceDN w:val="0"/>
        <w:spacing w:line="360" w:lineRule="auto"/>
        <w:ind w:firstLineChars="200" w:firstLine="480"/>
        <w:jc w:val="left"/>
        <w:rPr>
          <w:rFonts w:ascii="宋体" w:hAnsi="宋体"/>
          <w:color w:val="000000"/>
          <w:sz w:val="24"/>
        </w:rPr>
      </w:pPr>
      <w:r>
        <w:rPr>
          <w:rFonts w:ascii="宋体" w:hAnsi="宋体" w:hint="eastAsia"/>
          <w:color w:val="000000"/>
          <w:sz w:val="24"/>
        </w:rPr>
        <w:t>线缆要求</w:t>
      </w:r>
      <w:r w:rsidR="00302304">
        <w:rPr>
          <w:rFonts w:ascii="宋体" w:hAnsi="宋体" w:hint="eastAsia"/>
          <w:color w:val="000000"/>
          <w:sz w:val="24"/>
        </w:rPr>
        <w:t>：</w:t>
      </w:r>
      <w:r>
        <w:rPr>
          <w:rFonts w:ascii="宋体" w:hAnsi="宋体" w:hint="eastAsia"/>
          <w:color w:val="000000"/>
          <w:sz w:val="24"/>
        </w:rPr>
        <w:t>应能保证相应设备顺利安装和便于日常维护操作。应配置进出线留的足够空间。应具有配线端子标识的位置。过线区应预留足够的过线容量以满足直流充电机满配的接线操作要求。过线区应考虑线缆引入、固定和接地时操作的便利性、可更换性和可扩容性，线缆引入孔处应进行密封，防止水和龃齿类动物进入直流充电机。提供一定数量的绑扎线配件，方便绑扎线的基本要求。</w:t>
      </w:r>
    </w:p>
    <w:p w:rsidR="004E2BDA" w:rsidRDefault="00677A45">
      <w:pPr>
        <w:keepNext/>
        <w:keepLines/>
        <w:spacing w:before="260" w:after="260" w:line="416" w:lineRule="auto"/>
        <w:outlineLvl w:val="1"/>
        <w:rPr>
          <w:rFonts w:ascii="宋体" w:hAnsi="宋体"/>
          <w:b/>
          <w:bCs/>
          <w:sz w:val="24"/>
        </w:rPr>
      </w:pPr>
      <w:r>
        <w:rPr>
          <w:rFonts w:ascii="宋体" w:hAnsi="宋体" w:hint="eastAsia"/>
          <w:b/>
          <w:bCs/>
          <w:sz w:val="24"/>
        </w:rPr>
        <w:t>3.</w:t>
      </w:r>
      <w:r w:rsidR="00E47BC7">
        <w:rPr>
          <w:rFonts w:ascii="宋体" w:hAnsi="宋体" w:hint="eastAsia"/>
          <w:b/>
          <w:bCs/>
          <w:sz w:val="24"/>
        </w:rPr>
        <w:t>配套运营平台</w:t>
      </w:r>
      <w:r w:rsidR="00E47BC7">
        <w:rPr>
          <w:rFonts w:ascii="宋体" w:hAnsi="宋体"/>
          <w:b/>
          <w:bCs/>
          <w:sz w:val="24"/>
        </w:rPr>
        <w:t>技术要求</w:t>
      </w:r>
    </w:p>
    <w:p w:rsidR="004E2BDA" w:rsidRDefault="00677A45">
      <w:pPr>
        <w:keepNext/>
        <w:keepLines/>
        <w:spacing w:before="260" w:after="260" w:line="416" w:lineRule="auto"/>
        <w:outlineLvl w:val="2"/>
        <w:rPr>
          <w:rFonts w:ascii="宋体" w:hAnsi="宋体"/>
          <w:b/>
          <w:bCs/>
          <w:sz w:val="24"/>
        </w:rPr>
      </w:pPr>
      <w:r>
        <w:rPr>
          <w:rFonts w:ascii="宋体" w:hAnsi="宋体" w:hint="eastAsia"/>
          <w:b/>
          <w:bCs/>
          <w:sz w:val="24"/>
        </w:rPr>
        <w:t>3</w:t>
      </w:r>
      <w:r w:rsidR="00E47BC7">
        <w:rPr>
          <w:rFonts w:ascii="宋体" w:hAnsi="宋体"/>
          <w:b/>
          <w:bCs/>
          <w:sz w:val="24"/>
        </w:rPr>
        <w:t>.1</w:t>
      </w:r>
      <w:r w:rsidR="00E47BC7">
        <w:rPr>
          <w:rFonts w:ascii="宋体" w:hAnsi="宋体" w:hint="eastAsia"/>
          <w:b/>
          <w:bCs/>
          <w:sz w:val="24"/>
        </w:rPr>
        <w:t>总体要求</w:t>
      </w:r>
    </w:p>
    <w:p w:rsidR="004E2BDA" w:rsidRDefault="00E47BC7">
      <w:pPr>
        <w:pStyle w:val="black1"/>
        <w:spacing w:before="0" w:beforeAutospacing="0" w:after="0" w:afterAutospacing="0" w:line="360" w:lineRule="auto"/>
        <w:ind w:firstLineChars="245" w:firstLine="588"/>
        <w:rPr>
          <w:color w:val="000000"/>
        </w:rPr>
      </w:pPr>
      <w:r>
        <w:rPr>
          <w:rFonts w:hint="eastAsia"/>
          <w:color w:val="000000"/>
        </w:rPr>
        <w:t>本项目配套的平台需为供应商公有云平台，采购人无需承担该平台所需的服务器等部署资源费。</w:t>
      </w:r>
    </w:p>
    <w:p w:rsidR="004E2BDA" w:rsidRDefault="00E47BC7">
      <w:pPr>
        <w:pStyle w:val="black1"/>
        <w:spacing w:before="0" w:beforeAutospacing="0" w:after="0" w:afterAutospacing="0" w:line="360" w:lineRule="auto"/>
        <w:ind w:firstLineChars="245" w:firstLine="588"/>
        <w:rPr>
          <w:color w:val="000000"/>
        </w:rPr>
      </w:pPr>
      <w:r>
        <w:rPr>
          <w:rFonts w:hint="eastAsia"/>
          <w:color w:val="000000"/>
        </w:rPr>
        <w:t>提供《T/CEC 102-2016电动汽车充换电服务信息交换》系列标准接口，标准统一。</w:t>
      </w:r>
    </w:p>
    <w:p w:rsidR="004E2BDA" w:rsidRDefault="00E47BC7">
      <w:pPr>
        <w:pStyle w:val="black1"/>
        <w:spacing w:before="0" w:beforeAutospacing="0" w:after="0" w:afterAutospacing="0" w:line="360" w:lineRule="auto"/>
        <w:ind w:firstLineChars="245" w:firstLine="588"/>
        <w:rPr>
          <w:color w:val="000000"/>
        </w:rPr>
      </w:pPr>
      <w:r>
        <w:rPr>
          <w:rFonts w:hint="eastAsia"/>
          <w:color w:val="000000"/>
        </w:rPr>
        <w:t>通过互联互通子平台提供的开放接口。</w:t>
      </w:r>
    </w:p>
    <w:p w:rsidR="004E2BDA" w:rsidRDefault="00E47BC7">
      <w:pPr>
        <w:pStyle w:val="black1"/>
        <w:spacing w:before="0" w:beforeAutospacing="0" w:after="0" w:afterAutospacing="0" w:line="360" w:lineRule="auto"/>
        <w:ind w:firstLineChars="245" w:firstLine="588"/>
        <w:rPr>
          <w:color w:val="000000"/>
        </w:rPr>
      </w:pPr>
      <w:r>
        <w:rPr>
          <w:rFonts w:hint="eastAsia"/>
          <w:color w:val="000000"/>
        </w:rPr>
        <w:lastRenderedPageBreak/>
        <w:t>支持上级政府监控平台、电子政务平台等数据上报，excel数据格式。</w:t>
      </w:r>
    </w:p>
    <w:p w:rsidR="004E2BDA" w:rsidRDefault="00E47BC7">
      <w:pPr>
        <w:pStyle w:val="black1"/>
        <w:spacing w:before="0" w:beforeAutospacing="0" w:after="0" w:afterAutospacing="0" w:line="360" w:lineRule="auto"/>
        <w:ind w:firstLineChars="245" w:firstLine="588"/>
        <w:rPr>
          <w:color w:val="000000"/>
        </w:rPr>
      </w:pPr>
      <w:r>
        <w:rPr>
          <w:rFonts w:hint="eastAsia"/>
          <w:color w:val="000000"/>
        </w:rPr>
        <w:t>支持充电设施运营商、车辆制造商、第三方互联网平台互联互通，实现数据整合与共享。</w:t>
      </w:r>
    </w:p>
    <w:p w:rsidR="004E2BDA" w:rsidRDefault="00677A45">
      <w:pPr>
        <w:keepNext/>
        <w:keepLines/>
        <w:spacing w:before="280" w:after="290" w:line="376" w:lineRule="auto"/>
        <w:outlineLvl w:val="3"/>
        <w:rPr>
          <w:rFonts w:ascii="宋体" w:hAnsi="宋体" w:cstheme="majorBidi"/>
          <w:b/>
          <w:bCs/>
          <w:sz w:val="24"/>
        </w:rPr>
      </w:pPr>
      <w:r>
        <w:rPr>
          <w:rFonts w:ascii="宋体" w:hAnsi="宋体" w:cstheme="majorBidi" w:hint="eastAsia"/>
          <w:b/>
          <w:bCs/>
          <w:sz w:val="24"/>
        </w:rPr>
        <w:t>3</w:t>
      </w:r>
      <w:r w:rsidR="00E47BC7">
        <w:rPr>
          <w:rFonts w:ascii="宋体" w:hAnsi="宋体" w:cstheme="majorBidi"/>
          <w:b/>
          <w:bCs/>
          <w:sz w:val="24"/>
        </w:rPr>
        <w:t>.</w:t>
      </w:r>
      <w:r w:rsidR="00E47BC7">
        <w:rPr>
          <w:rFonts w:ascii="宋体" w:hAnsi="宋体" w:cstheme="majorBidi" w:hint="eastAsia"/>
          <w:b/>
          <w:bCs/>
          <w:sz w:val="24"/>
        </w:rPr>
        <w:t>1.1平台性能级安全要求</w:t>
      </w:r>
    </w:p>
    <w:p w:rsidR="004E2BDA" w:rsidRDefault="00E47BC7">
      <w:pPr>
        <w:pStyle w:val="black1"/>
        <w:spacing w:before="0" w:beforeAutospacing="0" w:after="0" w:afterAutospacing="0" w:line="360" w:lineRule="auto"/>
        <w:ind w:firstLineChars="245" w:firstLine="588"/>
        <w:rPr>
          <w:color w:val="0000FF"/>
        </w:rPr>
      </w:pPr>
      <w:r>
        <w:rPr>
          <w:rFonts w:hint="eastAsia"/>
          <w:color w:val="000000"/>
        </w:rPr>
        <w:t>性能效率要求</w:t>
      </w:r>
      <w:r>
        <w:rPr>
          <w:rFonts w:hint="eastAsia"/>
          <w:color w:val="0000FF"/>
        </w:rPr>
        <w:t>：</w:t>
      </w:r>
    </w:p>
    <w:p w:rsidR="004E2BDA" w:rsidRDefault="00E47BC7">
      <w:pPr>
        <w:pStyle w:val="black1"/>
        <w:spacing w:before="0" w:beforeAutospacing="0" w:after="0" w:afterAutospacing="0" w:line="360" w:lineRule="auto"/>
        <w:ind w:firstLineChars="245" w:firstLine="588"/>
        <w:rPr>
          <w:color w:val="000000"/>
        </w:rPr>
      </w:pPr>
      <w:r>
        <w:rPr>
          <w:rFonts w:hint="eastAsia"/>
          <w:color w:val="000000"/>
        </w:rPr>
        <w:t>单个用户，执行电桩查询操作，事务平均响应时间＜0.</w:t>
      </w:r>
      <w:r>
        <w:rPr>
          <w:color w:val="000000"/>
        </w:rPr>
        <w:t>15</w:t>
      </w:r>
      <w:r>
        <w:rPr>
          <w:rFonts w:hint="eastAsia"/>
          <w:color w:val="000000"/>
        </w:rPr>
        <w:t>秒</w:t>
      </w:r>
    </w:p>
    <w:p w:rsidR="004E2BDA" w:rsidRDefault="00E47BC7" w:rsidP="002E5C37">
      <w:pPr>
        <w:pStyle w:val="black1"/>
        <w:spacing w:before="0" w:beforeAutospacing="0" w:after="0" w:afterAutospacing="0" w:line="360" w:lineRule="auto"/>
        <w:ind w:firstLineChars="250" w:firstLine="600"/>
        <w:rPr>
          <w:color w:val="000000"/>
        </w:rPr>
      </w:pPr>
      <w:r>
        <w:rPr>
          <w:rFonts w:hint="eastAsia"/>
          <w:color w:val="000000"/>
        </w:rPr>
        <w:t>单个用户，执行历史数据查询操作，事务平均响应时间＜0.</w:t>
      </w:r>
      <w:r>
        <w:rPr>
          <w:color w:val="000000"/>
        </w:rPr>
        <w:t>03</w:t>
      </w:r>
      <w:r>
        <w:rPr>
          <w:rFonts w:hint="eastAsia"/>
          <w:color w:val="000000"/>
        </w:rPr>
        <w:t>秒</w:t>
      </w:r>
    </w:p>
    <w:p w:rsidR="004E2BDA" w:rsidRDefault="00E47BC7">
      <w:pPr>
        <w:pStyle w:val="black1"/>
        <w:spacing w:before="0" w:beforeAutospacing="0" w:after="0" w:afterAutospacing="0" w:line="360" w:lineRule="auto"/>
        <w:ind w:firstLineChars="245" w:firstLine="588"/>
        <w:rPr>
          <w:color w:val="000000"/>
        </w:rPr>
      </w:pPr>
      <w:r>
        <w:rPr>
          <w:rFonts w:hint="eastAsia"/>
          <w:color w:val="000000"/>
        </w:rPr>
        <w:t>CPU占用率＜</w:t>
      </w:r>
      <w:r>
        <w:rPr>
          <w:color w:val="000000"/>
        </w:rPr>
        <w:t>15</w:t>
      </w:r>
      <w:r>
        <w:rPr>
          <w:rFonts w:hint="eastAsia"/>
          <w:color w:val="000000"/>
        </w:rPr>
        <w:t>％且内存占用率＜</w:t>
      </w:r>
      <w:r>
        <w:rPr>
          <w:color w:val="000000"/>
        </w:rPr>
        <w:t>10</w:t>
      </w:r>
      <w:r>
        <w:rPr>
          <w:rFonts w:hint="eastAsia"/>
          <w:color w:val="000000"/>
        </w:rPr>
        <w:t>％</w:t>
      </w:r>
    </w:p>
    <w:p w:rsidR="004E2BDA" w:rsidRDefault="00E47BC7">
      <w:pPr>
        <w:pStyle w:val="black1"/>
        <w:spacing w:before="0" w:beforeAutospacing="0" w:after="0" w:afterAutospacing="0" w:line="360" w:lineRule="auto"/>
        <w:ind w:firstLineChars="245" w:firstLine="588"/>
        <w:rPr>
          <w:color w:val="000000"/>
        </w:rPr>
      </w:pPr>
      <w:r>
        <w:rPr>
          <w:rFonts w:hint="eastAsia"/>
          <w:color w:val="000000"/>
        </w:rPr>
        <w:t>信息安全要求：</w:t>
      </w:r>
    </w:p>
    <w:p w:rsidR="004E2BDA" w:rsidRDefault="00E47BC7">
      <w:pPr>
        <w:pStyle w:val="black1"/>
        <w:spacing w:before="0" w:beforeAutospacing="0" w:after="0" w:afterAutospacing="0" w:line="360" w:lineRule="auto"/>
        <w:ind w:firstLineChars="245" w:firstLine="588"/>
        <w:rPr>
          <w:color w:val="000000"/>
        </w:rPr>
      </w:pPr>
      <w:r>
        <w:rPr>
          <w:rFonts w:hint="eastAsia"/>
          <w:color w:val="000000"/>
        </w:rPr>
        <w:t>系统能够有效保护信息和数据，可以对登录ID进行识别，具有登录失败处理功能</w:t>
      </w:r>
    </w:p>
    <w:p w:rsidR="004E2BDA" w:rsidRDefault="00E47BC7">
      <w:pPr>
        <w:pStyle w:val="black1"/>
        <w:spacing w:before="0" w:beforeAutospacing="0" w:after="0" w:afterAutospacing="0" w:line="360" w:lineRule="auto"/>
        <w:ind w:firstLineChars="245" w:firstLine="588"/>
        <w:rPr>
          <w:color w:val="000000"/>
        </w:rPr>
      </w:pPr>
      <w:r>
        <w:rPr>
          <w:rFonts w:hint="eastAsia"/>
          <w:color w:val="000000"/>
        </w:rPr>
        <w:t>系统具有对正常访问的控制能力，可以禁止非授权用户创建、删除或修改操作</w:t>
      </w:r>
    </w:p>
    <w:p w:rsidR="004E2BDA" w:rsidRDefault="00E47BC7">
      <w:pPr>
        <w:pStyle w:val="black1"/>
        <w:spacing w:before="0" w:beforeAutospacing="0" w:after="0" w:afterAutospacing="0" w:line="360" w:lineRule="auto"/>
        <w:ind w:firstLineChars="245" w:firstLine="588"/>
        <w:rPr>
          <w:color w:val="0000FF"/>
        </w:rPr>
      </w:pPr>
      <w:r>
        <w:rPr>
          <w:rFonts w:hint="eastAsia"/>
          <w:color w:val="000000"/>
        </w:rPr>
        <w:t>无高、中级别漏洞</w:t>
      </w:r>
    </w:p>
    <w:p w:rsidR="004E2BDA" w:rsidRDefault="00677A45">
      <w:pPr>
        <w:keepNext/>
        <w:keepLines/>
        <w:spacing w:before="280" w:after="290" w:line="376" w:lineRule="auto"/>
        <w:outlineLvl w:val="3"/>
        <w:rPr>
          <w:rFonts w:ascii="宋体" w:hAnsi="宋体" w:cstheme="majorBidi"/>
          <w:b/>
          <w:bCs/>
          <w:sz w:val="24"/>
        </w:rPr>
      </w:pPr>
      <w:r>
        <w:rPr>
          <w:rFonts w:ascii="宋体" w:hAnsi="宋体" w:cstheme="majorBidi" w:hint="eastAsia"/>
          <w:b/>
          <w:bCs/>
          <w:sz w:val="24"/>
        </w:rPr>
        <w:t>3</w:t>
      </w:r>
      <w:r w:rsidR="00E47BC7">
        <w:rPr>
          <w:rFonts w:ascii="宋体" w:hAnsi="宋体" w:cstheme="majorBidi"/>
          <w:b/>
          <w:bCs/>
          <w:sz w:val="24"/>
        </w:rPr>
        <w:t>.</w:t>
      </w:r>
      <w:r w:rsidR="00E47BC7">
        <w:rPr>
          <w:rFonts w:ascii="宋体" w:hAnsi="宋体" w:cstheme="majorBidi" w:hint="eastAsia"/>
          <w:b/>
          <w:bCs/>
          <w:sz w:val="24"/>
        </w:rPr>
        <w:t>1.2平台多用户持续保障要求</w:t>
      </w:r>
    </w:p>
    <w:p w:rsidR="004E2BDA" w:rsidRDefault="00E47BC7" w:rsidP="002E5C37">
      <w:pPr>
        <w:pStyle w:val="black1"/>
        <w:spacing w:before="0" w:beforeAutospacing="0" w:after="0" w:afterAutospacing="0" w:line="360" w:lineRule="auto"/>
        <w:ind w:firstLineChars="200" w:firstLine="480"/>
        <w:rPr>
          <w:rFonts w:cs="宋体"/>
          <w:color w:val="000000"/>
        </w:rPr>
      </w:pPr>
      <w:r>
        <w:rPr>
          <w:rFonts w:cs="宋体" w:hint="eastAsia"/>
          <w:color w:val="000000"/>
        </w:rPr>
        <w:t>平台具备100000个充电桩的接入能力。平台支持大于200万充电终端的同时充电。</w:t>
      </w:r>
    </w:p>
    <w:p w:rsidR="004E2BDA" w:rsidRDefault="00E47BC7" w:rsidP="002E5C37">
      <w:pPr>
        <w:pStyle w:val="black1"/>
        <w:spacing w:before="0" w:beforeAutospacing="0" w:after="0" w:afterAutospacing="0" w:line="360" w:lineRule="auto"/>
        <w:ind w:firstLineChars="200" w:firstLine="480"/>
        <w:rPr>
          <w:rFonts w:cs="宋体"/>
          <w:color w:val="000000"/>
        </w:rPr>
      </w:pPr>
      <w:r>
        <w:rPr>
          <w:rFonts w:cs="宋体" w:hint="eastAsia"/>
          <w:color w:val="000000"/>
        </w:rPr>
        <w:t>平台能支持100万充电桩数据，300万新能源车数据和500万用户数据。</w:t>
      </w:r>
    </w:p>
    <w:p w:rsidR="004E2BDA" w:rsidRDefault="00E47BC7" w:rsidP="002E5C37">
      <w:pPr>
        <w:pStyle w:val="black1"/>
        <w:spacing w:before="0" w:beforeAutospacing="0" w:after="0" w:afterAutospacing="0" w:line="360" w:lineRule="auto"/>
        <w:ind w:firstLineChars="200" w:firstLine="480"/>
        <w:rPr>
          <w:rFonts w:cs="宋体"/>
          <w:color w:val="000000"/>
        </w:rPr>
      </w:pPr>
      <w:r>
        <w:rPr>
          <w:rFonts w:cs="宋体" w:hint="eastAsia"/>
          <w:color w:val="000000"/>
        </w:rPr>
        <w:t>远程功能：平台可以远程采集并传送运行各种电气量和负荷潮流、远程采集并传送各种保护和开关量信息、远程控制开关控制设备、远程调节充电机输出功率、远程动态实时监控信息。</w:t>
      </w:r>
    </w:p>
    <w:p w:rsidR="004E2BDA" w:rsidRDefault="00E47BC7" w:rsidP="002E5C37">
      <w:pPr>
        <w:pStyle w:val="black1"/>
        <w:spacing w:before="0" w:beforeAutospacing="0" w:after="0" w:afterAutospacing="0" w:line="360" w:lineRule="auto"/>
        <w:ind w:firstLineChars="200" w:firstLine="480"/>
        <w:rPr>
          <w:rFonts w:cs="宋体"/>
          <w:color w:val="000000"/>
        </w:rPr>
      </w:pPr>
      <w:r>
        <w:rPr>
          <w:rFonts w:cs="宋体" w:hint="eastAsia"/>
          <w:color w:val="000000"/>
        </w:rPr>
        <w:t>可靠性：平台具备7*24小时连续无障碍运行的能力</w:t>
      </w:r>
    </w:p>
    <w:p w:rsidR="004E2BDA" w:rsidRDefault="00677A45">
      <w:pPr>
        <w:keepNext/>
        <w:keepLines/>
        <w:spacing w:before="260" w:after="260" w:line="416" w:lineRule="auto"/>
        <w:outlineLvl w:val="2"/>
        <w:rPr>
          <w:rFonts w:ascii="宋体" w:hAnsi="宋体"/>
          <w:b/>
          <w:bCs/>
          <w:sz w:val="24"/>
        </w:rPr>
      </w:pPr>
      <w:r>
        <w:rPr>
          <w:rFonts w:ascii="宋体" w:hAnsi="宋体" w:hint="eastAsia"/>
          <w:b/>
          <w:bCs/>
          <w:sz w:val="24"/>
        </w:rPr>
        <w:t>3</w:t>
      </w:r>
      <w:r w:rsidR="00E47BC7">
        <w:rPr>
          <w:rFonts w:ascii="宋体" w:hAnsi="宋体"/>
          <w:b/>
          <w:bCs/>
          <w:sz w:val="24"/>
        </w:rPr>
        <w:t>.2</w:t>
      </w:r>
      <w:r w:rsidR="00E47BC7">
        <w:rPr>
          <w:rFonts w:ascii="宋体" w:hAnsi="宋体" w:hint="eastAsia"/>
          <w:b/>
          <w:bCs/>
          <w:sz w:val="24"/>
        </w:rPr>
        <w:t>平台功能要求</w:t>
      </w:r>
    </w:p>
    <w:p w:rsidR="004E2BDA" w:rsidRDefault="00E47BC7" w:rsidP="0035660C">
      <w:pPr>
        <w:pStyle w:val="black1"/>
        <w:spacing w:before="0" w:beforeAutospacing="0" w:after="0" w:afterAutospacing="0" w:line="360" w:lineRule="auto"/>
        <w:ind w:firstLineChars="200" w:firstLine="480"/>
        <w:rPr>
          <w:color w:val="000000"/>
        </w:rPr>
      </w:pPr>
      <w:r>
        <w:rPr>
          <w:rFonts w:hint="eastAsia"/>
          <w:color w:val="000000"/>
        </w:rPr>
        <w:t>电站、设备的管理及监控：平台为运营商展示电站昨日充电数据概况（充电订单，充电总量，收益金额趋势统计及环比数据对比）；展示电站终端主要状态信息(故障、空闲、充电中)；展示重要财务和待办信息（可结算信息、待开票信息、终端协议状态和用户评论信息）。平台为充电大客户展示查看账户信息和充电信息概况（账户余额、授信余额、可申请开票金额、月度充电消费趋势图）。</w:t>
      </w:r>
    </w:p>
    <w:p w:rsidR="004E2BDA" w:rsidRDefault="00E47BC7" w:rsidP="0035660C">
      <w:pPr>
        <w:pStyle w:val="black1"/>
        <w:spacing w:before="0" w:beforeAutospacing="0" w:after="0" w:afterAutospacing="0" w:line="360" w:lineRule="auto"/>
        <w:ind w:firstLineChars="200" w:firstLine="480"/>
        <w:rPr>
          <w:color w:val="000000"/>
          <w:highlight w:val="yellow"/>
        </w:rPr>
      </w:pPr>
      <w:r>
        <w:rPr>
          <w:rFonts w:hint="eastAsia"/>
          <w:color w:val="000000"/>
        </w:rPr>
        <w:lastRenderedPageBreak/>
        <w:t>灵活计费：平台支持多种定价方式、应用场站、应用群体，以适应运营方对场站精细化运营的需求。包括定价设置、峰尖谷平电价、电价策略、客户差异化收费、占位收费、金额分配等。</w:t>
      </w:r>
    </w:p>
    <w:p w:rsidR="004E2BDA" w:rsidRDefault="00E47BC7" w:rsidP="0035660C">
      <w:pPr>
        <w:pStyle w:val="black1"/>
        <w:spacing w:before="0" w:beforeAutospacing="0" w:after="0" w:afterAutospacing="0" w:line="360" w:lineRule="auto"/>
        <w:ind w:firstLineChars="200" w:firstLine="480"/>
        <w:rPr>
          <w:color w:val="000000"/>
        </w:rPr>
      </w:pPr>
      <w:r>
        <w:rPr>
          <w:rFonts w:hint="eastAsia"/>
          <w:color w:val="000000"/>
        </w:rPr>
        <w:t>报表服务：平台应支持各类报表服务功能，包括报表查询，筛选，排序及导出功能，满足日常的管理需要。各报表支持多种筛选方式支持运营需要。</w:t>
      </w:r>
    </w:p>
    <w:p w:rsidR="004E2BDA" w:rsidRDefault="00E47BC7" w:rsidP="0035660C">
      <w:pPr>
        <w:pStyle w:val="black1"/>
        <w:spacing w:before="0" w:beforeAutospacing="0" w:after="0" w:afterAutospacing="0" w:line="360" w:lineRule="auto"/>
        <w:ind w:firstLineChars="200" w:firstLine="480"/>
        <w:rPr>
          <w:color w:val="000000"/>
        </w:rPr>
      </w:pPr>
      <w:r>
        <w:rPr>
          <w:rFonts w:hint="eastAsia"/>
          <w:color w:val="000000"/>
        </w:rPr>
        <w:t>远程控制、升级：实现远程控制，可以对故障的桩进行后台重启。可以实现远程升级操作。</w:t>
      </w:r>
    </w:p>
    <w:p w:rsidR="004E2BDA" w:rsidRDefault="00E47BC7" w:rsidP="0035660C">
      <w:pPr>
        <w:pStyle w:val="black1"/>
        <w:spacing w:before="0" w:beforeAutospacing="0" w:after="0" w:afterAutospacing="0" w:line="360" w:lineRule="auto"/>
        <w:ind w:firstLineChars="200" w:firstLine="480"/>
        <w:rPr>
          <w:color w:val="000000"/>
        </w:rPr>
      </w:pPr>
      <w:r>
        <w:rPr>
          <w:rFonts w:hint="eastAsia"/>
          <w:color w:val="000000"/>
        </w:rPr>
        <w:t>智慧充电：平台应支持多种方式的智慧充电，在云端对充电桩硬件进行控制，下发配置，根据情况实时调整充电的策略以及内容。</w:t>
      </w:r>
    </w:p>
    <w:p w:rsidR="004E2BDA" w:rsidRDefault="00E47BC7" w:rsidP="0035660C">
      <w:pPr>
        <w:pStyle w:val="black1"/>
        <w:spacing w:before="0" w:beforeAutospacing="0" w:after="0" w:afterAutospacing="0" w:line="360" w:lineRule="auto"/>
        <w:ind w:firstLineChars="200" w:firstLine="480"/>
        <w:rPr>
          <w:color w:val="000000"/>
        </w:rPr>
      </w:pPr>
      <w:r>
        <w:rPr>
          <w:rFonts w:hint="eastAsia"/>
          <w:color w:val="000000"/>
        </w:rPr>
        <w:t>客户管理功能：平台应支持对各种类型的充电用户进行管理，包括企业用户和个人用户，能够维护其运营及账号信息。</w:t>
      </w:r>
    </w:p>
    <w:p w:rsidR="004E2BDA" w:rsidRDefault="00E47BC7" w:rsidP="0035660C">
      <w:pPr>
        <w:pStyle w:val="black1"/>
        <w:spacing w:before="0" w:beforeAutospacing="0" w:after="0" w:afterAutospacing="0" w:line="360" w:lineRule="auto"/>
        <w:ind w:firstLineChars="200" w:firstLine="480"/>
        <w:rPr>
          <w:color w:val="000000"/>
        </w:rPr>
      </w:pPr>
      <w:r>
        <w:rPr>
          <w:rFonts w:hint="eastAsia"/>
          <w:color w:val="000000"/>
        </w:rPr>
        <w:t>多种启动方式：平台应支持多种启动方式，支撑场站精细化运营需要，并且需要在订单管理中可根据不同的充电启动方式进行订单的筛选。</w:t>
      </w:r>
    </w:p>
    <w:p w:rsidR="004E2BDA" w:rsidRDefault="00E47BC7" w:rsidP="0035660C">
      <w:pPr>
        <w:pStyle w:val="black1"/>
        <w:spacing w:before="0" w:beforeAutospacing="0" w:after="0" w:afterAutospacing="0" w:line="360" w:lineRule="auto"/>
        <w:ind w:firstLineChars="200" w:firstLine="480"/>
        <w:rPr>
          <w:color w:val="000000"/>
        </w:rPr>
      </w:pPr>
      <w:r>
        <w:rPr>
          <w:rFonts w:hint="eastAsia"/>
          <w:color w:val="000000"/>
        </w:rPr>
        <w:t>车辆管理：可以单个/批量添加车辆，绑定至部门，实现车辆管理。如有车辆正在充电，可以查看该车充电过程数据。</w:t>
      </w:r>
    </w:p>
    <w:p w:rsidR="004E2BDA" w:rsidRDefault="00E47BC7" w:rsidP="0035660C">
      <w:pPr>
        <w:pStyle w:val="black1"/>
        <w:spacing w:before="0" w:beforeAutospacing="0" w:after="0" w:afterAutospacing="0" w:line="360" w:lineRule="auto"/>
        <w:ind w:firstLineChars="200" w:firstLine="480"/>
        <w:rPr>
          <w:color w:val="000000"/>
        </w:rPr>
      </w:pPr>
      <w:r>
        <w:rPr>
          <w:rFonts w:hint="eastAsia"/>
          <w:color w:val="000000"/>
        </w:rPr>
        <w:t>运营管理：账户管理、订单管理、监控大屏、运营报表、活动管理、券管理、电卡管理、开票管理、评价管理、任务中心</w:t>
      </w:r>
    </w:p>
    <w:p w:rsidR="004E2BDA" w:rsidRDefault="00E47BC7" w:rsidP="0035660C">
      <w:pPr>
        <w:pStyle w:val="black1"/>
        <w:spacing w:before="0" w:beforeAutospacing="0" w:after="0" w:afterAutospacing="0" w:line="360" w:lineRule="auto"/>
        <w:ind w:firstLineChars="200" w:firstLine="480"/>
        <w:rPr>
          <w:color w:val="000000"/>
        </w:rPr>
      </w:pPr>
      <w:r>
        <w:rPr>
          <w:rFonts w:hint="eastAsia"/>
          <w:color w:val="000000"/>
        </w:rPr>
        <w:t>系统管理</w:t>
      </w:r>
      <w:bookmarkStart w:id="1" w:name="_Toc52117553"/>
      <w:r>
        <w:rPr>
          <w:rFonts w:hint="eastAsia"/>
          <w:color w:val="000000"/>
        </w:rPr>
        <w:t>：部门管理</w:t>
      </w:r>
      <w:bookmarkEnd w:id="1"/>
      <w:r>
        <w:rPr>
          <w:rFonts w:hint="eastAsia"/>
          <w:color w:val="000000"/>
        </w:rPr>
        <w:t>、员工管理、车辆管理、菜单权限、操作日志查询。</w:t>
      </w:r>
    </w:p>
    <w:p w:rsidR="004E2BDA" w:rsidRDefault="00E47BC7" w:rsidP="0035660C">
      <w:pPr>
        <w:pStyle w:val="black1"/>
        <w:spacing w:before="0" w:beforeAutospacing="0" w:after="0" w:afterAutospacing="0" w:line="360" w:lineRule="auto"/>
        <w:ind w:firstLineChars="200" w:firstLine="480"/>
        <w:rPr>
          <w:color w:val="000000"/>
        </w:rPr>
      </w:pPr>
      <w:r>
        <w:rPr>
          <w:rFonts w:hint="eastAsia"/>
          <w:color w:val="000000"/>
        </w:rPr>
        <w:t>兼容性：平台应充分考虑未来不同供应商、不同类型充电设施对接要求。</w:t>
      </w:r>
    </w:p>
    <w:p w:rsidR="004E2BDA" w:rsidRPr="0035660C" w:rsidRDefault="004E2BDA">
      <w:pPr>
        <w:numPr>
          <w:ilvl w:val="255"/>
          <w:numId w:val="0"/>
        </w:numPr>
        <w:spacing w:line="400" w:lineRule="exact"/>
        <w:rPr>
          <w:rFonts w:ascii="宋体" w:hAnsi="宋体" w:cs="宋体"/>
          <w:b/>
          <w:bCs/>
          <w:sz w:val="28"/>
          <w:szCs w:val="28"/>
        </w:rPr>
      </w:pPr>
    </w:p>
    <w:p w:rsidR="004E2BDA" w:rsidRPr="0035660C" w:rsidRDefault="00E47BC7">
      <w:pPr>
        <w:numPr>
          <w:ilvl w:val="255"/>
          <w:numId w:val="0"/>
        </w:numPr>
        <w:spacing w:line="400" w:lineRule="exact"/>
        <w:rPr>
          <w:rFonts w:ascii="宋体" w:hAnsi="宋体" w:cs="宋体"/>
          <w:b/>
          <w:bCs/>
          <w:sz w:val="28"/>
          <w:szCs w:val="28"/>
        </w:rPr>
      </w:pPr>
      <w:r w:rsidRPr="0035660C">
        <w:rPr>
          <w:rFonts w:ascii="宋体" w:hAnsi="宋体" w:cs="宋体" w:hint="eastAsia"/>
          <w:b/>
          <w:bCs/>
          <w:sz w:val="28"/>
          <w:szCs w:val="28"/>
        </w:rPr>
        <w:t>（</w:t>
      </w:r>
      <w:r w:rsidR="0035660C" w:rsidRPr="0035660C">
        <w:rPr>
          <w:rFonts w:ascii="宋体" w:hAnsi="宋体" w:cs="宋体" w:hint="eastAsia"/>
          <w:b/>
          <w:bCs/>
          <w:sz w:val="28"/>
          <w:szCs w:val="28"/>
        </w:rPr>
        <w:t>三</w:t>
      </w:r>
      <w:r w:rsidRPr="0035660C">
        <w:rPr>
          <w:rFonts w:ascii="宋体" w:hAnsi="宋体" w:cs="宋体" w:hint="eastAsia"/>
          <w:b/>
          <w:bCs/>
          <w:sz w:val="28"/>
          <w:szCs w:val="28"/>
        </w:rPr>
        <w:t>）质量及售后服务承诺</w:t>
      </w:r>
    </w:p>
    <w:p w:rsidR="004E2BDA" w:rsidRPr="0035660C" w:rsidRDefault="003A36A4" w:rsidP="00677A45">
      <w:pPr>
        <w:pStyle w:val="ab"/>
        <w:shd w:val="clear" w:color="auto" w:fill="FFFFFF"/>
        <w:spacing w:beforeAutospacing="0" w:after="150" w:afterAutospacing="0" w:line="300" w:lineRule="atLeast"/>
        <w:rPr>
          <w:rFonts w:asciiTheme="minorEastAsia" w:hAnsiTheme="minorEastAsia" w:cs="Times New Roman"/>
          <w:b/>
          <w:color w:val="000000" w:themeColor="text1"/>
          <w:kern w:val="2"/>
        </w:rPr>
      </w:pPr>
      <w:r>
        <w:rPr>
          <w:rFonts w:asciiTheme="minorEastAsia" w:hAnsiTheme="minorEastAsia" w:cs="Times New Roman" w:hint="eastAsia"/>
          <w:b/>
          <w:color w:val="000000" w:themeColor="text1"/>
          <w:kern w:val="2"/>
        </w:rPr>
        <w:t>1</w:t>
      </w:r>
      <w:r w:rsidR="00677A45">
        <w:rPr>
          <w:rFonts w:asciiTheme="minorEastAsia" w:hAnsiTheme="minorEastAsia" w:cs="Times New Roman" w:hint="eastAsia"/>
          <w:b/>
          <w:color w:val="000000" w:themeColor="text1"/>
          <w:kern w:val="2"/>
        </w:rPr>
        <w:t>.</w:t>
      </w:r>
      <w:r w:rsidR="00E47BC7" w:rsidRPr="0035660C">
        <w:rPr>
          <w:rFonts w:asciiTheme="minorEastAsia" w:hAnsiTheme="minorEastAsia" w:cs="Times New Roman"/>
          <w:b/>
          <w:color w:val="000000" w:themeColor="text1"/>
          <w:kern w:val="2"/>
        </w:rPr>
        <w:t>货物包装方式</w:t>
      </w:r>
    </w:p>
    <w:p w:rsidR="004E2BDA" w:rsidRDefault="00677A45" w:rsidP="00677A45">
      <w:pPr>
        <w:pStyle w:val="ab"/>
        <w:shd w:val="clear" w:color="auto" w:fill="FFFFFF"/>
        <w:spacing w:beforeAutospacing="0" w:after="150" w:afterAutospacing="0" w:line="300" w:lineRule="atLeast"/>
        <w:rPr>
          <w:rFonts w:asciiTheme="minorEastAsia" w:hAnsiTheme="minorEastAsia" w:cs="Times New Roman"/>
          <w:color w:val="000000" w:themeColor="text1"/>
          <w:kern w:val="2"/>
        </w:rPr>
      </w:pPr>
      <w:r>
        <w:rPr>
          <w:rFonts w:asciiTheme="minorEastAsia" w:hAnsiTheme="minorEastAsia" w:cs="Times New Roman" w:hint="eastAsia"/>
          <w:color w:val="000000" w:themeColor="text1"/>
          <w:kern w:val="2"/>
        </w:rPr>
        <w:t xml:space="preserve">    </w:t>
      </w:r>
      <w:r w:rsidR="00E47BC7">
        <w:rPr>
          <w:rFonts w:asciiTheme="minorEastAsia" w:hAnsiTheme="minorEastAsia" w:cs="Times New Roman"/>
          <w:color w:val="000000" w:themeColor="text1"/>
          <w:kern w:val="2"/>
        </w:rPr>
        <w:t>包装：货物交货时应按国家有关标准要求进行包装。</w:t>
      </w:r>
    </w:p>
    <w:p w:rsidR="004E2BDA" w:rsidRDefault="00677A45">
      <w:pPr>
        <w:pStyle w:val="ab"/>
        <w:shd w:val="clear" w:color="auto" w:fill="FFFFFF"/>
        <w:spacing w:beforeAutospacing="0" w:after="150" w:afterAutospacing="0" w:line="300" w:lineRule="atLeast"/>
        <w:ind w:firstLineChars="100" w:firstLine="240"/>
        <w:rPr>
          <w:rFonts w:asciiTheme="minorEastAsia" w:hAnsiTheme="minorEastAsia" w:cs="Times New Roman"/>
          <w:color w:val="000000" w:themeColor="text1"/>
          <w:kern w:val="2"/>
        </w:rPr>
      </w:pPr>
      <w:r>
        <w:rPr>
          <w:rFonts w:asciiTheme="minorEastAsia" w:hAnsiTheme="minorEastAsia" w:cs="Times New Roman" w:hint="eastAsia"/>
          <w:color w:val="000000" w:themeColor="text1"/>
          <w:kern w:val="2"/>
        </w:rPr>
        <w:t xml:space="preserve">  </w:t>
      </w:r>
      <w:r w:rsidR="00E47BC7">
        <w:rPr>
          <w:rFonts w:asciiTheme="minorEastAsia" w:hAnsiTheme="minorEastAsia" w:cs="Times New Roman"/>
          <w:color w:val="000000" w:themeColor="text1"/>
          <w:kern w:val="2"/>
        </w:rPr>
        <w:t>包装必须与运输方式相适应，包装方式的确定及包装费用均由中标人负责；由于不适当的包装而造成货物在运输过程中有任何损坏由中标人负责。</w:t>
      </w:r>
    </w:p>
    <w:p w:rsidR="004E2BDA" w:rsidRDefault="00677A45">
      <w:pPr>
        <w:pStyle w:val="ab"/>
        <w:shd w:val="clear" w:color="auto" w:fill="FFFFFF"/>
        <w:spacing w:beforeAutospacing="0" w:after="150" w:afterAutospacing="0" w:line="300" w:lineRule="atLeast"/>
        <w:ind w:firstLineChars="100" w:firstLine="240"/>
        <w:rPr>
          <w:rFonts w:asciiTheme="minorEastAsia" w:hAnsiTheme="minorEastAsia" w:cs="Times New Roman"/>
          <w:color w:val="000000" w:themeColor="text1"/>
          <w:kern w:val="2"/>
        </w:rPr>
      </w:pPr>
      <w:r>
        <w:rPr>
          <w:rFonts w:asciiTheme="minorEastAsia" w:hAnsiTheme="minorEastAsia" w:cs="Times New Roman" w:hint="eastAsia"/>
          <w:color w:val="000000" w:themeColor="text1"/>
          <w:kern w:val="2"/>
        </w:rPr>
        <w:t xml:space="preserve">  </w:t>
      </w:r>
      <w:r w:rsidR="00E47BC7">
        <w:rPr>
          <w:rFonts w:asciiTheme="minorEastAsia" w:hAnsiTheme="minorEastAsia" w:cs="Times New Roman"/>
          <w:color w:val="000000" w:themeColor="text1"/>
          <w:kern w:val="2"/>
        </w:rPr>
        <w:t>注：包装应足以承受整个过程中的运输、转运、装卸、储存等，充分考虑到运输途中的各种情况(如暴露于恶劣气候等)和项目所在地的气候特点，以及露天存放的需要。</w:t>
      </w:r>
    </w:p>
    <w:p w:rsidR="004E2BDA" w:rsidRPr="00677A45" w:rsidRDefault="00677A45">
      <w:pPr>
        <w:pStyle w:val="ab"/>
        <w:shd w:val="clear" w:color="auto" w:fill="FFFFFF"/>
        <w:spacing w:beforeAutospacing="0" w:after="150" w:afterAutospacing="0" w:line="300" w:lineRule="atLeast"/>
        <w:rPr>
          <w:rFonts w:asciiTheme="minorEastAsia" w:hAnsiTheme="minorEastAsia" w:cs="Times New Roman"/>
          <w:b/>
          <w:color w:val="000000" w:themeColor="text1"/>
          <w:kern w:val="2"/>
        </w:rPr>
      </w:pPr>
      <w:r w:rsidRPr="00677A45">
        <w:rPr>
          <w:rFonts w:asciiTheme="minorEastAsia" w:hAnsiTheme="minorEastAsia" w:cs="Times New Roman" w:hint="eastAsia"/>
          <w:b/>
          <w:color w:val="000000" w:themeColor="text1"/>
          <w:kern w:val="2"/>
        </w:rPr>
        <w:t>2</w:t>
      </w:r>
      <w:r>
        <w:rPr>
          <w:rFonts w:asciiTheme="minorEastAsia" w:hAnsiTheme="minorEastAsia" w:cs="Times New Roman" w:hint="eastAsia"/>
          <w:b/>
          <w:color w:val="000000" w:themeColor="text1"/>
          <w:kern w:val="2"/>
        </w:rPr>
        <w:t>．</w:t>
      </w:r>
      <w:r w:rsidR="00E47BC7" w:rsidRPr="00677A45">
        <w:rPr>
          <w:rFonts w:asciiTheme="minorEastAsia" w:hAnsiTheme="minorEastAsia" w:cs="Times New Roman"/>
          <w:b/>
          <w:color w:val="000000" w:themeColor="text1"/>
          <w:kern w:val="2"/>
        </w:rPr>
        <w:t>安装、调试</w:t>
      </w:r>
    </w:p>
    <w:p w:rsidR="004E2BDA" w:rsidRDefault="00677A45" w:rsidP="00677A45">
      <w:pPr>
        <w:pStyle w:val="ab"/>
        <w:shd w:val="clear" w:color="auto" w:fill="FFFFFF"/>
        <w:spacing w:beforeAutospacing="0" w:after="150" w:afterAutospacing="0" w:line="300" w:lineRule="atLeast"/>
        <w:rPr>
          <w:rFonts w:asciiTheme="minorEastAsia" w:hAnsiTheme="minorEastAsia" w:cs="Times New Roman"/>
          <w:color w:val="000000" w:themeColor="text1"/>
          <w:kern w:val="2"/>
        </w:rPr>
      </w:pPr>
      <w:r>
        <w:rPr>
          <w:rFonts w:asciiTheme="minorEastAsia" w:hAnsiTheme="minorEastAsia" w:cs="Times New Roman" w:hint="eastAsia"/>
          <w:color w:val="000000" w:themeColor="text1"/>
          <w:kern w:val="2"/>
        </w:rPr>
        <w:t xml:space="preserve">    </w:t>
      </w:r>
      <w:r w:rsidR="00E47BC7">
        <w:rPr>
          <w:rFonts w:asciiTheme="minorEastAsia" w:hAnsiTheme="minorEastAsia" w:cs="Times New Roman"/>
          <w:color w:val="000000" w:themeColor="text1"/>
          <w:kern w:val="2"/>
        </w:rPr>
        <w:t>中标人应在签订合同时，向采购人提供安装、调试的进度计划表。</w:t>
      </w:r>
    </w:p>
    <w:p w:rsidR="004E2BDA" w:rsidRDefault="00E47BC7" w:rsidP="00677A45">
      <w:pPr>
        <w:pStyle w:val="ab"/>
        <w:shd w:val="clear" w:color="auto" w:fill="FFFFFF"/>
        <w:spacing w:beforeAutospacing="0" w:after="150" w:afterAutospacing="0" w:line="300" w:lineRule="atLeast"/>
        <w:ind w:firstLineChars="200" w:firstLine="480"/>
        <w:rPr>
          <w:rFonts w:asciiTheme="minorEastAsia" w:hAnsiTheme="minorEastAsia" w:cs="Times New Roman"/>
          <w:color w:val="000000" w:themeColor="text1"/>
          <w:kern w:val="2"/>
        </w:rPr>
      </w:pPr>
      <w:r>
        <w:rPr>
          <w:rFonts w:asciiTheme="minorEastAsia" w:hAnsiTheme="minorEastAsia" w:cs="Times New Roman"/>
          <w:color w:val="000000" w:themeColor="text1"/>
          <w:kern w:val="2"/>
        </w:rPr>
        <w:t>合同签订后，由中标人负责将合同规定的设备数量送到安装地点，设备通过采购人确认后，由中标人指派的技术人员到现场进行安装。采购人将安排专人配合，并提供安装所需的基本条件，保证各项安装工作顺利进行。</w:t>
      </w:r>
    </w:p>
    <w:p w:rsidR="004E2BDA" w:rsidRDefault="00E47BC7" w:rsidP="00677A45">
      <w:pPr>
        <w:pStyle w:val="ab"/>
        <w:shd w:val="clear" w:color="auto" w:fill="FFFFFF"/>
        <w:spacing w:beforeAutospacing="0" w:after="150" w:afterAutospacing="0" w:line="300" w:lineRule="atLeast"/>
        <w:ind w:firstLineChars="200" w:firstLine="480"/>
        <w:rPr>
          <w:rFonts w:asciiTheme="minorEastAsia" w:hAnsiTheme="minorEastAsia" w:cs="Times New Roman"/>
          <w:color w:val="000000" w:themeColor="text1"/>
          <w:kern w:val="2"/>
        </w:rPr>
      </w:pPr>
      <w:r>
        <w:rPr>
          <w:rFonts w:asciiTheme="minorEastAsia" w:hAnsiTheme="minorEastAsia" w:cs="Times New Roman"/>
          <w:color w:val="000000" w:themeColor="text1"/>
          <w:kern w:val="2"/>
        </w:rPr>
        <w:lastRenderedPageBreak/>
        <w:t>中标人负责组织专业技术人员进行设备调试，并向采购人安排的工作人员介绍设备功能。</w:t>
      </w:r>
    </w:p>
    <w:p w:rsidR="004E2BDA" w:rsidRDefault="00E47BC7" w:rsidP="00677A45">
      <w:pPr>
        <w:pStyle w:val="ab"/>
        <w:shd w:val="clear" w:color="auto" w:fill="FFFFFF"/>
        <w:spacing w:beforeAutospacing="0" w:after="150" w:afterAutospacing="0" w:line="300" w:lineRule="atLeast"/>
        <w:ind w:firstLineChars="200" w:firstLine="480"/>
        <w:rPr>
          <w:rFonts w:asciiTheme="minorEastAsia" w:hAnsiTheme="minorEastAsia" w:cs="Times New Roman"/>
          <w:color w:val="000000" w:themeColor="text1"/>
          <w:kern w:val="2"/>
        </w:rPr>
      </w:pPr>
      <w:r>
        <w:rPr>
          <w:rFonts w:asciiTheme="minorEastAsia" w:hAnsiTheme="minorEastAsia" w:cs="Times New Roman"/>
          <w:color w:val="000000" w:themeColor="text1"/>
          <w:kern w:val="2"/>
        </w:rPr>
        <w:t>设备安装、调试的完工期须按照合同的规定执行。</w:t>
      </w:r>
    </w:p>
    <w:p w:rsidR="004E2BDA" w:rsidRPr="00677A45" w:rsidRDefault="00E47BC7" w:rsidP="00677A45">
      <w:pPr>
        <w:pStyle w:val="ab"/>
        <w:shd w:val="clear" w:color="auto" w:fill="FFFFFF"/>
        <w:spacing w:beforeAutospacing="0" w:after="150" w:afterAutospacing="0" w:line="300" w:lineRule="atLeast"/>
        <w:rPr>
          <w:rFonts w:asciiTheme="minorEastAsia" w:hAnsiTheme="minorEastAsia" w:cs="Times New Roman"/>
          <w:b/>
          <w:color w:val="000000" w:themeColor="text1"/>
          <w:kern w:val="2"/>
        </w:rPr>
      </w:pPr>
      <w:r w:rsidRPr="00677A45">
        <w:rPr>
          <w:rFonts w:asciiTheme="minorEastAsia" w:hAnsiTheme="minorEastAsia" w:cs="Times New Roman"/>
          <w:b/>
          <w:color w:val="000000" w:themeColor="text1"/>
          <w:kern w:val="2"/>
        </w:rPr>
        <w:t>3</w:t>
      </w:r>
      <w:r w:rsidR="00677A45">
        <w:rPr>
          <w:rFonts w:asciiTheme="minorEastAsia" w:hAnsiTheme="minorEastAsia" w:cs="Times New Roman" w:hint="eastAsia"/>
          <w:b/>
          <w:color w:val="000000" w:themeColor="text1"/>
          <w:kern w:val="2"/>
        </w:rPr>
        <w:t>．</w:t>
      </w:r>
      <w:r w:rsidRPr="00677A45">
        <w:rPr>
          <w:rFonts w:asciiTheme="minorEastAsia" w:hAnsiTheme="minorEastAsia" w:cs="Times New Roman"/>
          <w:b/>
          <w:color w:val="000000" w:themeColor="text1"/>
          <w:kern w:val="2"/>
        </w:rPr>
        <w:t>检验标准和方法</w:t>
      </w:r>
    </w:p>
    <w:p w:rsidR="004E2BDA" w:rsidRDefault="00E47BC7" w:rsidP="00677A45">
      <w:pPr>
        <w:pStyle w:val="ab"/>
        <w:shd w:val="clear" w:color="auto" w:fill="FFFFFF"/>
        <w:spacing w:beforeAutospacing="0" w:after="150" w:afterAutospacing="0" w:line="300" w:lineRule="atLeast"/>
        <w:ind w:firstLineChars="200" w:firstLine="480"/>
        <w:rPr>
          <w:rFonts w:asciiTheme="minorEastAsia" w:hAnsiTheme="minorEastAsia" w:cs="Times New Roman"/>
          <w:color w:val="000000" w:themeColor="text1"/>
          <w:kern w:val="2"/>
        </w:rPr>
      </w:pPr>
      <w:r>
        <w:rPr>
          <w:rFonts w:asciiTheme="minorEastAsia" w:hAnsiTheme="minorEastAsia" w:cs="Times New Roman"/>
          <w:color w:val="000000" w:themeColor="text1"/>
          <w:kern w:val="2"/>
        </w:rPr>
        <w:t>验收标准：货物按生产厂家的产品验收标准、合同中的相关条款进行验收。所有设备必须是原装包装。若发现原包装破损或保修条款不满足要求，采购人有权不予接收，并要求中标人无条件免费重新更换，并按合同条款的有关规定执行。</w:t>
      </w:r>
    </w:p>
    <w:p w:rsidR="004E2BDA" w:rsidRDefault="00E47BC7" w:rsidP="00677A45">
      <w:pPr>
        <w:pStyle w:val="ab"/>
        <w:shd w:val="clear" w:color="auto" w:fill="FFFFFF"/>
        <w:spacing w:beforeAutospacing="0" w:after="150" w:afterAutospacing="0" w:line="300" w:lineRule="atLeast"/>
        <w:ind w:firstLineChars="200" w:firstLine="480"/>
        <w:rPr>
          <w:rFonts w:asciiTheme="minorEastAsia" w:hAnsiTheme="minorEastAsia" w:cs="Times New Roman"/>
          <w:color w:val="000000" w:themeColor="text1"/>
          <w:kern w:val="2"/>
        </w:rPr>
      </w:pPr>
      <w:r>
        <w:rPr>
          <w:rFonts w:asciiTheme="minorEastAsia" w:hAnsiTheme="minorEastAsia" w:cs="Times New Roman"/>
          <w:color w:val="000000" w:themeColor="text1"/>
          <w:kern w:val="2"/>
        </w:rPr>
        <w:t>出厂检验：中标人负责所提供货物的出厂检验，应按货物技术标准规定的检验项目和检验方法进行全面检验，保证货物原厂地和技术指标的真实性、完整性，并负责将货物送达采购人指定的交货地点。</w:t>
      </w:r>
    </w:p>
    <w:p w:rsidR="004E2BDA" w:rsidRDefault="00E47BC7" w:rsidP="00677A45">
      <w:pPr>
        <w:pStyle w:val="ab"/>
        <w:shd w:val="clear" w:color="auto" w:fill="FFFFFF"/>
        <w:spacing w:beforeAutospacing="0" w:after="150" w:afterAutospacing="0" w:line="300" w:lineRule="atLeast"/>
        <w:ind w:firstLineChars="200" w:firstLine="480"/>
        <w:rPr>
          <w:rFonts w:asciiTheme="minorEastAsia" w:hAnsiTheme="minorEastAsia" w:cs="Times New Roman"/>
          <w:color w:val="000000" w:themeColor="text1"/>
          <w:kern w:val="2"/>
        </w:rPr>
      </w:pPr>
      <w:r>
        <w:rPr>
          <w:rFonts w:asciiTheme="minorEastAsia" w:hAnsiTheme="minorEastAsia" w:cs="Times New Roman"/>
          <w:color w:val="000000" w:themeColor="text1"/>
          <w:kern w:val="2"/>
        </w:rPr>
        <w:t>到货验收：货物送至采购人安装现场后，中标人和采购人一同拆箱，对其全部货物、零件、配件的型号、规格、数量、外型、外观、包装进行到货验收。</w:t>
      </w:r>
    </w:p>
    <w:p w:rsidR="004E2BDA" w:rsidRDefault="00E47BC7" w:rsidP="00677A45">
      <w:pPr>
        <w:pStyle w:val="ab"/>
        <w:shd w:val="clear" w:color="auto" w:fill="FFFFFF"/>
        <w:spacing w:beforeAutospacing="0" w:after="150" w:afterAutospacing="0" w:line="300" w:lineRule="atLeast"/>
        <w:ind w:firstLineChars="200" w:firstLine="480"/>
        <w:rPr>
          <w:rFonts w:asciiTheme="minorEastAsia" w:hAnsiTheme="minorEastAsia" w:cs="Times New Roman"/>
          <w:color w:val="000000" w:themeColor="text1"/>
          <w:kern w:val="2"/>
        </w:rPr>
      </w:pPr>
      <w:r>
        <w:rPr>
          <w:rFonts w:asciiTheme="minorEastAsia" w:hAnsiTheme="minorEastAsia" w:cs="Times New Roman"/>
          <w:color w:val="000000" w:themeColor="text1"/>
          <w:kern w:val="2"/>
        </w:rPr>
        <w:t>试运行：完成设备安装调试后，中标人应对货物的整体性能和功能进行自检，自检结果必须符合招标文件要求及合同中的相关条款，自检合格后，货物转入为期一周的试运行。试运行结束后，中标人应向采购人提交自检记录和试运行记录，并提出验收申请。经采购人同意后，采购人和中标人共同进行设备的验收。</w:t>
      </w:r>
    </w:p>
    <w:p w:rsidR="004E2BDA" w:rsidRDefault="00E47BC7" w:rsidP="00677A45">
      <w:pPr>
        <w:pStyle w:val="ab"/>
        <w:shd w:val="clear" w:color="auto" w:fill="FFFFFF"/>
        <w:spacing w:beforeAutospacing="0" w:after="150" w:afterAutospacing="0" w:line="300" w:lineRule="atLeast"/>
        <w:ind w:firstLineChars="200" w:firstLine="480"/>
        <w:rPr>
          <w:rFonts w:asciiTheme="minorEastAsia" w:hAnsiTheme="minorEastAsia" w:cs="Times New Roman"/>
          <w:color w:val="000000" w:themeColor="text1"/>
          <w:kern w:val="2"/>
        </w:rPr>
      </w:pPr>
      <w:r>
        <w:rPr>
          <w:rFonts w:asciiTheme="minorEastAsia" w:hAnsiTheme="minorEastAsia" w:cs="Times New Roman"/>
          <w:color w:val="000000" w:themeColor="text1"/>
          <w:kern w:val="2"/>
        </w:rPr>
        <w:t>最终验收</w:t>
      </w:r>
      <w:r w:rsidR="00677A45">
        <w:rPr>
          <w:rFonts w:asciiTheme="minorEastAsia" w:hAnsiTheme="minorEastAsia" w:cs="Times New Roman" w:hint="eastAsia"/>
          <w:color w:val="000000" w:themeColor="text1"/>
          <w:kern w:val="2"/>
        </w:rPr>
        <w:t>：</w:t>
      </w:r>
      <w:r>
        <w:rPr>
          <w:rFonts w:asciiTheme="minorEastAsia" w:hAnsiTheme="minorEastAsia" w:cs="Times New Roman"/>
          <w:color w:val="000000" w:themeColor="text1"/>
          <w:kern w:val="2"/>
        </w:rPr>
        <w:t>采购人将按照采购合同规定的技术、服务、安全标准组织对供应商履约情况进行验收，并出具验收书。验收书应当包括每一项技术、服务、安全标准的履约情况。验收结果经双方确认后，双方代表必须按规定的验收交接单上的项目对照本合同填好验收结果并签名盖章。验收过程中，若发现货物质量有问题中标人应无条件免费更换，并无条件重新检测并调试直至验收合格交付使用。在此期间，中标人在采购人现场进行安装、调试、集成、试运行直至验收所发生的一切费用由中标人承担且已含在投标总价中。</w:t>
      </w:r>
    </w:p>
    <w:p w:rsidR="004E2BDA" w:rsidRPr="00677A45" w:rsidRDefault="00E47BC7" w:rsidP="00677A45">
      <w:pPr>
        <w:pStyle w:val="ab"/>
        <w:shd w:val="clear" w:color="auto" w:fill="FFFFFF"/>
        <w:spacing w:beforeAutospacing="0" w:after="150" w:afterAutospacing="0" w:line="300" w:lineRule="atLeast"/>
        <w:rPr>
          <w:rFonts w:asciiTheme="minorEastAsia" w:hAnsiTheme="minorEastAsia" w:cs="Times New Roman"/>
          <w:b/>
          <w:color w:val="000000" w:themeColor="text1"/>
          <w:kern w:val="2"/>
        </w:rPr>
      </w:pPr>
      <w:r w:rsidRPr="00677A45">
        <w:rPr>
          <w:rFonts w:asciiTheme="minorEastAsia" w:hAnsiTheme="minorEastAsia" w:cs="Times New Roman"/>
          <w:b/>
          <w:color w:val="000000" w:themeColor="text1"/>
          <w:kern w:val="2"/>
        </w:rPr>
        <w:t>4</w:t>
      </w:r>
      <w:r w:rsidR="00677A45">
        <w:rPr>
          <w:rFonts w:asciiTheme="minorEastAsia" w:hAnsiTheme="minorEastAsia" w:cs="Times New Roman" w:hint="eastAsia"/>
          <w:b/>
          <w:color w:val="000000" w:themeColor="text1"/>
          <w:kern w:val="2"/>
        </w:rPr>
        <w:t>．</w:t>
      </w:r>
      <w:r w:rsidRPr="00677A45">
        <w:rPr>
          <w:rFonts w:asciiTheme="minorEastAsia" w:hAnsiTheme="minorEastAsia" w:cs="Times New Roman"/>
          <w:b/>
          <w:color w:val="000000" w:themeColor="text1"/>
          <w:kern w:val="2"/>
        </w:rPr>
        <w:t>质量保证及售后服务要求</w:t>
      </w:r>
    </w:p>
    <w:p w:rsidR="004E2BDA" w:rsidRDefault="00E47BC7" w:rsidP="00677A45">
      <w:pPr>
        <w:pStyle w:val="ab"/>
        <w:shd w:val="clear" w:color="auto" w:fill="FFFFFF"/>
        <w:spacing w:beforeAutospacing="0" w:after="150" w:afterAutospacing="0" w:line="300" w:lineRule="atLeast"/>
        <w:ind w:firstLineChars="200" w:firstLine="484"/>
        <w:rPr>
          <w:rFonts w:asciiTheme="minorEastAsia" w:hAnsiTheme="minorEastAsia" w:cs="Times New Roman"/>
          <w:color w:val="000000" w:themeColor="text1"/>
          <w:kern w:val="2"/>
        </w:rPr>
      </w:pPr>
      <w:r>
        <w:rPr>
          <w:spacing w:val="1"/>
          <w:kern w:val="2"/>
        </w:rPr>
        <w:t>质保期要求：项目验收后，</w:t>
      </w:r>
      <w:r>
        <w:rPr>
          <w:rFonts w:hint="eastAsia"/>
          <w:spacing w:val="1"/>
          <w:kern w:val="2"/>
        </w:rPr>
        <w:t>充电桩</w:t>
      </w:r>
      <w:r>
        <w:rPr>
          <w:spacing w:val="1"/>
          <w:kern w:val="2"/>
        </w:rPr>
        <w:t>提供</w:t>
      </w:r>
      <w:r>
        <w:rPr>
          <w:rFonts w:hint="eastAsia"/>
          <w:spacing w:val="1"/>
          <w:kern w:val="2"/>
        </w:rPr>
        <w:t>3</w:t>
      </w:r>
      <w:r>
        <w:rPr>
          <w:spacing w:val="1"/>
          <w:kern w:val="2"/>
        </w:rPr>
        <w:t>年的免费质保</w:t>
      </w:r>
      <w:r>
        <w:rPr>
          <w:rFonts w:hint="eastAsia"/>
          <w:spacing w:val="1"/>
          <w:kern w:val="2"/>
        </w:rPr>
        <w:t>，</w:t>
      </w:r>
      <w:r>
        <w:rPr>
          <w:rFonts w:asciiTheme="minorEastAsia" w:hAnsiTheme="minorEastAsia" w:cs="Times New Roman"/>
          <w:color w:val="000000" w:themeColor="text1"/>
          <w:kern w:val="2"/>
        </w:rPr>
        <w:t>同系列软件终身免费升级。</w:t>
      </w:r>
      <w:r>
        <w:rPr>
          <w:spacing w:val="1"/>
          <w:kern w:val="2"/>
        </w:rPr>
        <w:t>为了保证本次项目顺利成功，要求投标人承诺项目验收后</w:t>
      </w:r>
      <w:r>
        <w:rPr>
          <w:rFonts w:hint="eastAsia"/>
          <w:spacing w:val="1"/>
          <w:kern w:val="2"/>
        </w:rPr>
        <w:t>在质保期内提供</w:t>
      </w:r>
      <w:r>
        <w:rPr>
          <w:spacing w:val="1"/>
          <w:kern w:val="2"/>
        </w:rPr>
        <w:t>7天×24小时服务，保障系统正常运行</w:t>
      </w:r>
      <w:r>
        <w:rPr>
          <w:rFonts w:hint="eastAsia"/>
          <w:spacing w:val="1"/>
          <w:kern w:val="2"/>
        </w:rPr>
        <w:t>。</w:t>
      </w:r>
      <w:r>
        <w:rPr>
          <w:spacing w:val="1"/>
          <w:kern w:val="2"/>
        </w:rPr>
        <w:t>质保期内投标人须按照采购人需求，给出明确售后服务响应时间和安排，售后服务内容包括系统升级、功能完善、故障排除、性能调优、技术咨询等，并负责系统的开发、集成，处理、协调与各系统软件等供应商的关系。</w:t>
      </w:r>
      <w:r>
        <w:rPr>
          <w:rFonts w:asciiTheme="minorEastAsia" w:hAnsiTheme="minorEastAsia" w:cs="Times New Roman"/>
          <w:color w:val="000000" w:themeColor="text1"/>
          <w:kern w:val="2"/>
        </w:rPr>
        <w:t>保修期内，须按合同条款提供免费服务，非因操作不当造成要更换的零配件及仪器设备由中标人负责包修、包换。免费质保期满前1个月内中标人应负责对仪器设备进行一次免费全面检查，如发现潜在问题，应负责排除，保证仪器设备正常运行。设备投入使用后，如软硬件出现故障，要求供货方12小时内响应，24小时内到达。如果设备需要返厂维修，维修期间须提供备用样机供我单位使用。</w:t>
      </w:r>
    </w:p>
    <w:p w:rsidR="004E2BDA" w:rsidRDefault="00E47BC7" w:rsidP="00677A45">
      <w:pPr>
        <w:pStyle w:val="ab"/>
        <w:shd w:val="clear" w:color="auto" w:fill="FFFFFF"/>
        <w:spacing w:beforeAutospacing="0" w:after="150" w:afterAutospacing="0" w:line="300" w:lineRule="atLeast"/>
        <w:ind w:firstLineChars="200" w:firstLine="480"/>
        <w:rPr>
          <w:rFonts w:asciiTheme="minorEastAsia" w:hAnsiTheme="minorEastAsia" w:cs="Times New Roman"/>
          <w:color w:val="000000" w:themeColor="text1"/>
          <w:kern w:val="2"/>
        </w:rPr>
      </w:pPr>
      <w:r>
        <w:rPr>
          <w:rFonts w:asciiTheme="minorEastAsia" w:hAnsiTheme="minorEastAsia" w:cs="Times New Roman"/>
          <w:color w:val="000000" w:themeColor="text1"/>
          <w:kern w:val="2"/>
        </w:rPr>
        <w:t>质量保修期后的服务要求：质量保修期结束后，中标人仍应对货物提供终身维修服务并有责任对货物在必要时进行定期维护和修理，维修相关费用：只能收取配件或耗材的成本费，其他一切费用由中标人承担。供应商在投标文件中必须明确说明服务承诺。</w:t>
      </w:r>
    </w:p>
    <w:p w:rsidR="004E2BDA" w:rsidRPr="00677A45" w:rsidRDefault="00E47BC7" w:rsidP="00677A45">
      <w:pPr>
        <w:autoSpaceDE w:val="0"/>
        <w:autoSpaceDN w:val="0"/>
        <w:snapToGrid w:val="0"/>
        <w:spacing w:line="360" w:lineRule="auto"/>
        <w:ind w:firstLineChars="200" w:firstLine="480"/>
        <w:jc w:val="left"/>
        <w:rPr>
          <w:rFonts w:asciiTheme="minorEastAsia" w:hAnsiTheme="minorEastAsia"/>
          <w:color w:val="000000" w:themeColor="text1"/>
          <w:sz w:val="24"/>
        </w:rPr>
      </w:pPr>
      <w:r w:rsidRPr="00677A45">
        <w:rPr>
          <w:rFonts w:asciiTheme="minorEastAsia" w:hAnsiTheme="minorEastAsia"/>
          <w:color w:val="000000" w:themeColor="text1"/>
          <w:sz w:val="24"/>
        </w:rPr>
        <w:t>投标人必须根据本次招标文件所制定的目标和范围，提出相应的售后服务方案</w:t>
      </w:r>
      <w:r>
        <w:rPr>
          <w:rFonts w:asciiTheme="minorEastAsia" w:hAnsiTheme="minorEastAsia"/>
          <w:color w:val="000000" w:themeColor="text1"/>
          <w:sz w:val="24"/>
        </w:rPr>
        <w:t>及承诺，内容应涉及：维护机构、人员、地址、电话、维修方式、保修方式、培训计划、保修期满后的维修保养费用、时间保证、零配件及易损件费用及优惠措施等</w:t>
      </w:r>
      <w:r w:rsidRPr="00677A45">
        <w:rPr>
          <w:rFonts w:asciiTheme="minorEastAsia" w:hAnsiTheme="minorEastAsia"/>
          <w:color w:val="000000" w:themeColor="text1"/>
          <w:sz w:val="24"/>
        </w:rPr>
        <w:t>均进行了真实响应，</w:t>
      </w:r>
      <w:r w:rsidRPr="00677A45">
        <w:rPr>
          <w:rFonts w:asciiTheme="minorEastAsia" w:hAnsiTheme="minorEastAsia"/>
          <w:color w:val="000000" w:themeColor="text1"/>
          <w:sz w:val="24"/>
        </w:rPr>
        <w:lastRenderedPageBreak/>
        <w:t>未有虚假响应的内容，如有虚假响应，愿承担相应的法律责任，并赔偿招标人因此引起的经济损失。</w:t>
      </w:r>
    </w:p>
    <w:p w:rsidR="004E2BDA" w:rsidRPr="00677A45" w:rsidRDefault="00E47BC7" w:rsidP="00677A45">
      <w:pPr>
        <w:pStyle w:val="ab"/>
        <w:shd w:val="clear" w:color="auto" w:fill="FFFFFF"/>
        <w:spacing w:beforeAutospacing="0" w:after="150" w:afterAutospacing="0" w:line="300" w:lineRule="atLeast"/>
        <w:rPr>
          <w:rFonts w:asciiTheme="minorEastAsia" w:hAnsiTheme="minorEastAsia" w:cs="Times New Roman"/>
          <w:b/>
          <w:color w:val="000000" w:themeColor="text1"/>
          <w:kern w:val="2"/>
        </w:rPr>
      </w:pPr>
      <w:r w:rsidRPr="00677A45">
        <w:rPr>
          <w:rFonts w:asciiTheme="minorEastAsia" w:hAnsiTheme="minorEastAsia" w:cs="Times New Roman"/>
          <w:b/>
          <w:color w:val="000000" w:themeColor="text1"/>
          <w:kern w:val="2"/>
        </w:rPr>
        <w:t>5</w:t>
      </w:r>
      <w:r w:rsidR="00677A45" w:rsidRPr="00677A45">
        <w:rPr>
          <w:rFonts w:asciiTheme="minorEastAsia" w:hAnsiTheme="minorEastAsia" w:cs="Times New Roman" w:hint="eastAsia"/>
          <w:b/>
          <w:color w:val="000000" w:themeColor="text1"/>
          <w:kern w:val="2"/>
        </w:rPr>
        <w:t>．</w:t>
      </w:r>
      <w:r w:rsidRPr="00677A45">
        <w:rPr>
          <w:rFonts w:asciiTheme="minorEastAsia" w:hAnsiTheme="minorEastAsia" w:cs="Times New Roman"/>
          <w:b/>
          <w:color w:val="000000" w:themeColor="text1"/>
          <w:kern w:val="2"/>
        </w:rPr>
        <w:t>技术培训及技术资料要求</w:t>
      </w:r>
    </w:p>
    <w:p w:rsidR="004E2BDA" w:rsidRDefault="00E47BC7" w:rsidP="00677A45">
      <w:pPr>
        <w:pStyle w:val="ab"/>
        <w:shd w:val="clear" w:color="auto" w:fill="FFFFFF"/>
        <w:spacing w:beforeAutospacing="0" w:after="150" w:afterAutospacing="0" w:line="300" w:lineRule="atLeast"/>
        <w:ind w:firstLineChars="200" w:firstLine="480"/>
        <w:rPr>
          <w:rFonts w:asciiTheme="minorEastAsia" w:hAnsiTheme="minorEastAsia" w:cs="Times New Roman"/>
          <w:color w:val="000000" w:themeColor="text1"/>
          <w:kern w:val="2"/>
        </w:rPr>
      </w:pPr>
      <w:r>
        <w:rPr>
          <w:rFonts w:asciiTheme="minorEastAsia" w:hAnsiTheme="minorEastAsia" w:cs="Times New Roman"/>
          <w:color w:val="000000" w:themeColor="text1"/>
          <w:kern w:val="2"/>
        </w:rPr>
        <w:t>技术培训：中标人应结合货物安装、调试等阶段，同时免费按采购人指定的时间、地点现场免费进行培训，人数不限，培训内容包括设备原理、操作、维护、保养及产品软件操作等，不计场次，直至用户能熟练独立的操作。</w:t>
      </w:r>
    </w:p>
    <w:p w:rsidR="004E2BDA" w:rsidRDefault="00E47BC7" w:rsidP="00677A45">
      <w:pPr>
        <w:pStyle w:val="ab"/>
        <w:shd w:val="clear" w:color="auto" w:fill="FFFFFF"/>
        <w:spacing w:beforeAutospacing="0" w:after="150" w:afterAutospacing="0" w:line="300" w:lineRule="atLeast"/>
        <w:ind w:firstLineChars="200" w:firstLine="480"/>
        <w:rPr>
          <w:rFonts w:asciiTheme="minorEastAsia" w:hAnsiTheme="minorEastAsia" w:cs="Times New Roman"/>
          <w:color w:val="000000" w:themeColor="text1"/>
          <w:kern w:val="2"/>
        </w:rPr>
      </w:pPr>
      <w:r>
        <w:rPr>
          <w:rFonts w:asciiTheme="minorEastAsia" w:hAnsiTheme="minorEastAsia" w:cs="Times New Roman"/>
          <w:color w:val="000000" w:themeColor="text1"/>
          <w:kern w:val="2"/>
        </w:rPr>
        <w:t>技术资料：中标人应向采购人提供不少于以下列明的中文(或英文)技术资料，在设备交货时同时提供；并提供货物相关的证明文件或资料，其费用应包括在报价内。应提供的技术资料如下：</w:t>
      </w:r>
    </w:p>
    <w:p w:rsidR="004E2BDA" w:rsidRDefault="00E47BC7">
      <w:pPr>
        <w:pStyle w:val="ab"/>
        <w:shd w:val="clear" w:color="auto" w:fill="FFFFFF"/>
        <w:spacing w:beforeAutospacing="0" w:after="150" w:afterAutospacing="0" w:line="300" w:lineRule="atLeast"/>
        <w:ind w:firstLineChars="100" w:firstLine="240"/>
        <w:rPr>
          <w:rFonts w:asciiTheme="minorEastAsia" w:hAnsiTheme="minorEastAsia" w:cs="Times New Roman"/>
          <w:color w:val="000000" w:themeColor="text1"/>
          <w:kern w:val="2"/>
        </w:rPr>
      </w:pPr>
      <w:r>
        <w:rPr>
          <w:rFonts w:asciiTheme="minorEastAsia" w:hAnsiTheme="minorEastAsia" w:cs="Times New Roman"/>
          <w:color w:val="000000" w:themeColor="text1"/>
          <w:kern w:val="2"/>
        </w:rPr>
        <w:t>（1)出厂明细表(装箱单)；</w:t>
      </w:r>
    </w:p>
    <w:p w:rsidR="004E2BDA" w:rsidRDefault="00E47BC7">
      <w:pPr>
        <w:pStyle w:val="ab"/>
        <w:shd w:val="clear" w:color="auto" w:fill="FFFFFF"/>
        <w:spacing w:beforeAutospacing="0" w:after="150" w:afterAutospacing="0" w:line="300" w:lineRule="atLeast"/>
        <w:ind w:firstLineChars="100" w:firstLine="240"/>
        <w:rPr>
          <w:rFonts w:asciiTheme="minorEastAsia" w:hAnsiTheme="minorEastAsia" w:cs="Times New Roman"/>
          <w:color w:val="000000" w:themeColor="text1"/>
          <w:kern w:val="2"/>
        </w:rPr>
      </w:pPr>
      <w:r>
        <w:rPr>
          <w:rFonts w:asciiTheme="minorEastAsia" w:hAnsiTheme="minorEastAsia" w:cs="Times New Roman"/>
          <w:color w:val="000000" w:themeColor="text1"/>
          <w:kern w:val="2"/>
        </w:rPr>
        <w:t>（2)出厂检验报告、合格证书；</w:t>
      </w:r>
    </w:p>
    <w:p w:rsidR="004E2BDA" w:rsidRDefault="00E47BC7">
      <w:pPr>
        <w:pStyle w:val="ab"/>
        <w:shd w:val="clear" w:color="auto" w:fill="FFFFFF"/>
        <w:spacing w:beforeAutospacing="0" w:after="150" w:afterAutospacing="0" w:line="300" w:lineRule="atLeast"/>
        <w:ind w:firstLineChars="100" w:firstLine="240"/>
        <w:rPr>
          <w:rFonts w:asciiTheme="minorEastAsia" w:hAnsiTheme="minorEastAsia" w:cs="Times New Roman"/>
          <w:color w:val="000000" w:themeColor="text1"/>
          <w:kern w:val="2"/>
        </w:rPr>
      </w:pPr>
      <w:r>
        <w:rPr>
          <w:rFonts w:asciiTheme="minorEastAsia" w:hAnsiTheme="minorEastAsia" w:cs="Times New Roman"/>
          <w:color w:val="000000" w:themeColor="text1"/>
          <w:kern w:val="2"/>
        </w:rPr>
        <w:t>（3)安装手册；操作手册(中文)；维修手册；</w:t>
      </w:r>
    </w:p>
    <w:p w:rsidR="004E2BDA" w:rsidRDefault="00E47BC7">
      <w:pPr>
        <w:pStyle w:val="ab"/>
        <w:shd w:val="clear" w:color="auto" w:fill="FFFFFF"/>
        <w:spacing w:beforeAutospacing="0" w:after="150" w:afterAutospacing="0" w:line="300" w:lineRule="atLeast"/>
        <w:ind w:firstLineChars="100" w:firstLine="240"/>
        <w:rPr>
          <w:rFonts w:asciiTheme="minorEastAsia" w:hAnsiTheme="minorEastAsia" w:cs="Times New Roman"/>
          <w:color w:val="000000" w:themeColor="text1"/>
          <w:kern w:val="2"/>
        </w:rPr>
      </w:pPr>
      <w:r>
        <w:rPr>
          <w:rFonts w:asciiTheme="minorEastAsia" w:hAnsiTheme="minorEastAsia" w:cs="Times New Roman"/>
          <w:color w:val="000000" w:themeColor="text1"/>
          <w:kern w:val="2"/>
        </w:rPr>
        <w:t>（4)使用说明书；</w:t>
      </w:r>
    </w:p>
    <w:p w:rsidR="004E2BDA" w:rsidRDefault="00E47BC7">
      <w:pPr>
        <w:pStyle w:val="ab"/>
        <w:shd w:val="clear" w:color="auto" w:fill="FFFFFF"/>
        <w:spacing w:beforeAutospacing="0" w:after="150" w:afterAutospacing="0" w:line="300" w:lineRule="atLeast"/>
        <w:ind w:firstLineChars="100" w:firstLine="240"/>
        <w:rPr>
          <w:rFonts w:asciiTheme="minorEastAsia" w:hAnsiTheme="minorEastAsia" w:cs="Times New Roman"/>
          <w:color w:val="000000" w:themeColor="text1"/>
          <w:kern w:val="2"/>
        </w:rPr>
      </w:pPr>
      <w:r>
        <w:rPr>
          <w:rFonts w:asciiTheme="minorEastAsia" w:hAnsiTheme="minorEastAsia" w:cs="Times New Roman"/>
          <w:color w:val="000000" w:themeColor="text1"/>
          <w:kern w:val="2"/>
        </w:rPr>
        <w:t>（5)设备安装、调试、维修线路原理图等安装调试资料；</w:t>
      </w:r>
    </w:p>
    <w:p w:rsidR="004E2BDA" w:rsidRDefault="00E47BC7">
      <w:pPr>
        <w:pStyle w:val="ab"/>
        <w:shd w:val="clear" w:color="auto" w:fill="FFFFFF"/>
        <w:spacing w:beforeAutospacing="0" w:after="150" w:afterAutospacing="0" w:line="300" w:lineRule="atLeast"/>
        <w:ind w:firstLineChars="100" w:firstLine="240"/>
        <w:rPr>
          <w:rFonts w:asciiTheme="minorEastAsia" w:hAnsiTheme="minorEastAsia" w:cs="Times New Roman"/>
          <w:color w:val="000000" w:themeColor="text1"/>
          <w:kern w:val="2"/>
        </w:rPr>
      </w:pPr>
      <w:r>
        <w:rPr>
          <w:rFonts w:asciiTheme="minorEastAsia" w:hAnsiTheme="minorEastAsia" w:cs="Times New Roman"/>
          <w:color w:val="000000" w:themeColor="text1"/>
          <w:kern w:val="2"/>
        </w:rPr>
        <w:t>（6)提供原产地制造商的产品证明；</w:t>
      </w:r>
    </w:p>
    <w:p w:rsidR="004E2BDA" w:rsidRDefault="00E47BC7">
      <w:pPr>
        <w:pStyle w:val="ab"/>
        <w:shd w:val="clear" w:color="auto" w:fill="FFFFFF"/>
        <w:spacing w:beforeAutospacing="0" w:after="150" w:afterAutospacing="0" w:line="300" w:lineRule="atLeast"/>
        <w:ind w:firstLineChars="100" w:firstLine="240"/>
        <w:rPr>
          <w:rFonts w:asciiTheme="minorEastAsia" w:hAnsiTheme="minorEastAsia" w:cs="Times New Roman"/>
          <w:color w:val="000000" w:themeColor="text1"/>
          <w:kern w:val="2"/>
        </w:rPr>
      </w:pPr>
      <w:r>
        <w:rPr>
          <w:rFonts w:asciiTheme="minorEastAsia" w:hAnsiTheme="minorEastAsia" w:cs="Times New Roman"/>
          <w:color w:val="000000" w:themeColor="text1"/>
          <w:kern w:val="2"/>
        </w:rPr>
        <w:t>（7)合同中要求的其它文件资料。</w:t>
      </w:r>
    </w:p>
    <w:p w:rsidR="003823EC" w:rsidRDefault="003823EC" w:rsidP="003823EC">
      <w:pPr>
        <w:pStyle w:val="10"/>
        <w:rPr>
          <w:rFonts w:ascii="宋体" w:hAnsi="宋体"/>
          <w:b/>
          <w:szCs w:val="21"/>
        </w:rPr>
      </w:pPr>
    </w:p>
    <w:p w:rsidR="001E4774" w:rsidRDefault="001E4774" w:rsidP="003823EC">
      <w:pPr>
        <w:pStyle w:val="10"/>
        <w:rPr>
          <w:rFonts w:ascii="宋体" w:hAnsi="宋体"/>
          <w:b/>
          <w:szCs w:val="21"/>
        </w:rPr>
      </w:pPr>
    </w:p>
    <w:p w:rsidR="001E4774" w:rsidRDefault="001E4774" w:rsidP="003823EC">
      <w:pPr>
        <w:pStyle w:val="10"/>
        <w:rPr>
          <w:rFonts w:ascii="宋体" w:hAnsi="宋体"/>
          <w:b/>
          <w:szCs w:val="21"/>
        </w:rPr>
      </w:pPr>
    </w:p>
    <w:p w:rsidR="001E4774" w:rsidRDefault="001E4774" w:rsidP="003823EC">
      <w:pPr>
        <w:pStyle w:val="10"/>
        <w:rPr>
          <w:rFonts w:ascii="宋体" w:hAnsi="宋体"/>
          <w:b/>
          <w:szCs w:val="21"/>
        </w:rPr>
      </w:pPr>
    </w:p>
    <w:p w:rsidR="001E4774" w:rsidRDefault="001E4774" w:rsidP="003823EC">
      <w:pPr>
        <w:pStyle w:val="10"/>
        <w:rPr>
          <w:rFonts w:ascii="宋体" w:hAnsi="宋体"/>
          <w:b/>
          <w:szCs w:val="21"/>
        </w:rPr>
      </w:pPr>
    </w:p>
    <w:p w:rsidR="001E4774" w:rsidRDefault="001E4774" w:rsidP="003823EC">
      <w:pPr>
        <w:pStyle w:val="10"/>
        <w:rPr>
          <w:rFonts w:ascii="宋体" w:hAnsi="宋体"/>
          <w:b/>
          <w:szCs w:val="21"/>
        </w:rPr>
      </w:pPr>
    </w:p>
    <w:p w:rsidR="00677A45" w:rsidRPr="00677A45" w:rsidRDefault="00677A45" w:rsidP="003823EC">
      <w:pPr>
        <w:pStyle w:val="10"/>
        <w:rPr>
          <w:rFonts w:ascii="宋体" w:hAnsi="宋体"/>
          <w:b/>
          <w:szCs w:val="21"/>
        </w:rPr>
      </w:pPr>
    </w:p>
    <w:p w:rsidR="001E4774" w:rsidRDefault="001E4774" w:rsidP="003823EC">
      <w:pPr>
        <w:pStyle w:val="10"/>
        <w:rPr>
          <w:rFonts w:ascii="宋体" w:hAnsi="宋体"/>
          <w:b/>
          <w:szCs w:val="21"/>
        </w:rPr>
      </w:pPr>
    </w:p>
    <w:p w:rsidR="001E4774" w:rsidRDefault="001E4774" w:rsidP="003823EC">
      <w:pPr>
        <w:pStyle w:val="10"/>
        <w:rPr>
          <w:rFonts w:ascii="宋体" w:hAnsi="宋体"/>
          <w:b/>
          <w:szCs w:val="21"/>
        </w:rPr>
      </w:pPr>
    </w:p>
    <w:p w:rsidR="00FC3D7A" w:rsidRDefault="00FC3D7A" w:rsidP="003823EC">
      <w:pPr>
        <w:pStyle w:val="10"/>
        <w:rPr>
          <w:rFonts w:ascii="宋体" w:hAnsi="宋体"/>
          <w:b/>
          <w:szCs w:val="21"/>
        </w:rPr>
      </w:pPr>
    </w:p>
    <w:p w:rsidR="00FC3D7A" w:rsidRDefault="00FC3D7A" w:rsidP="003823EC">
      <w:pPr>
        <w:pStyle w:val="10"/>
        <w:rPr>
          <w:rFonts w:ascii="宋体" w:hAnsi="宋体"/>
          <w:b/>
          <w:szCs w:val="21"/>
        </w:rPr>
      </w:pPr>
    </w:p>
    <w:p w:rsidR="00FC3D7A" w:rsidRDefault="00FC3D7A" w:rsidP="003823EC">
      <w:pPr>
        <w:pStyle w:val="10"/>
        <w:rPr>
          <w:rFonts w:ascii="宋体" w:hAnsi="宋体"/>
          <w:b/>
          <w:szCs w:val="21"/>
        </w:rPr>
      </w:pPr>
    </w:p>
    <w:p w:rsidR="00FC3D7A" w:rsidRDefault="00FC3D7A" w:rsidP="003823EC">
      <w:pPr>
        <w:pStyle w:val="10"/>
        <w:rPr>
          <w:rFonts w:ascii="宋体" w:hAnsi="宋体"/>
          <w:b/>
          <w:szCs w:val="21"/>
        </w:rPr>
      </w:pPr>
    </w:p>
    <w:p w:rsidR="00FC3D7A" w:rsidRDefault="00FC3D7A" w:rsidP="003823EC">
      <w:pPr>
        <w:pStyle w:val="10"/>
        <w:rPr>
          <w:rFonts w:ascii="宋体" w:hAnsi="宋体"/>
          <w:b/>
          <w:szCs w:val="21"/>
        </w:rPr>
      </w:pPr>
    </w:p>
    <w:p w:rsidR="00FC3D7A" w:rsidRDefault="00FC3D7A" w:rsidP="003823EC">
      <w:pPr>
        <w:pStyle w:val="10"/>
        <w:rPr>
          <w:rFonts w:ascii="宋体" w:hAnsi="宋体"/>
          <w:b/>
          <w:szCs w:val="21"/>
        </w:rPr>
      </w:pPr>
    </w:p>
    <w:p w:rsidR="00FC3D7A" w:rsidRDefault="00FC3D7A" w:rsidP="003823EC">
      <w:pPr>
        <w:pStyle w:val="10"/>
        <w:rPr>
          <w:rFonts w:ascii="宋体" w:hAnsi="宋体"/>
          <w:b/>
          <w:szCs w:val="21"/>
        </w:rPr>
      </w:pPr>
    </w:p>
    <w:p w:rsidR="00FC3D7A" w:rsidRDefault="00FC3D7A" w:rsidP="003823EC">
      <w:pPr>
        <w:pStyle w:val="10"/>
        <w:rPr>
          <w:rFonts w:ascii="宋体" w:hAnsi="宋体"/>
          <w:b/>
          <w:szCs w:val="21"/>
        </w:rPr>
      </w:pPr>
    </w:p>
    <w:p w:rsidR="00FC3D7A" w:rsidRDefault="00FC3D7A" w:rsidP="003823EC">
      <w:pPr>
        <w:pStyle w:val="10"/>
        <w:rPr>
          <w:rFonts w:ascii="宋体" w:hAnsi="宋体"/>
          <w:b/>
          <w:szCs w:val="21"/>
        </w:rPr>
      </w:pPr>
    </w:p>
    <w:p w:rsidR="00FC3D7A" w:rsidRDefault="00FC3D7A" w:rsidP="003823EC">
      <w:pPr>
        <w:pStyle w:val="10"/>
        <w:rPr>
          <w:rFonts w:ascii="宋体" w:hAnsi="宋体"/>
          <w:b/>
          <w:szCs w:val="21"/>
        </w:rPr>
      </w:pPr>
    </w:p>
    <w:p w:rsidR="00FC3D7A" w:rsidRDefault="00FC3D7A" w:rsidP="003823EC">
      <w:pPr>
        <w:pStyle w:val="10"/>
        <w:rPr>
          <w:rFonts w:ascii="宋体" w:hAnsi="宋体"/>
          <w:b/>
          <w:szCs w:val="21"/>
        </w:rPr>
      </w:pPr>
    </w:p>
    <w:p w:rsidR="001E4774" w:rsidRDefault="001E4774" w:rsidP="003823EC">
      <w:pPr>
        <w:pStyle w:val="10"/>
        <w:rPr>
          <w:rFonts w:ascii="宋体" w:hAnsi="宋体"/>
          <w:b/>
          <w:szCs w:val="21"/>
        </w:rPr>
      </w:pPr>
    </w:p>
    <w:p w:rsidR="001E4774" w:rsidRDefault="001E4774" w:rsidP="003823EC">
      <w:pPr>
        <w:pStyle w:val="10"/>
        <w:rPr>
          <w:rFonts w:ascii="宋体" w:hAnsi="宋体"/>
          <w:b/>
          <w:szCs w:val="21"/>
        </w:rPr>
      </w:pPr>
    </w:p>
    <w:p w:rsidR="001E4774" w:rsidRDefault="001E4774" w:rsidP="003823EC">
      <w:pPr>
        <w:pStyle w:val="10"/>
        <w:rPr>
          <w:rFonts w:ascii="宋体" w:hAnsi="宋体"/>
          <w:b/>
          <w:szCs w:val="21"/>
        </w:rPr>
      </w:pPr>
    </w:p>
    <w:p w:rsidR="001E4774" w:rsidRDefault="001E4774" w:rsidP="003823EC">
      <w:pPr>
        <w:pStyle w:val="10"/>
        <w:rPr>
          <w:rFonts w:ascii="宋体" w:hAnsi="宋体"/>
          <w:b/>
          <w:szCs w:val="21"/>
        </w:rPr>
      </w:pPr>
    </w:p>
    <w:p w:rsidR="003823EC" w:rsidRDefault="003823EC" w:rsidP="003823EC">
      <w:pPr>
        <w:spacing w:line="360" w:lineRule="exact"/>
        <w:rPr>
          <w:rFonts w:ascii="宋体" w:hAnsi="宋体"/>
          <w:b/>
          <w:sz w:val="28"/>
          <w:szCs w:val="21"/>
        </w:rPr>
      </w:pPr>
      <w:r w:rsidRPr="00096138">
        <w:rPr>
          <w:rFonts w:ascii="宋体" w:hAnsi="宋体" w:hint="eastAsia"/>
          <w:b/>
          <w:sz w:val="28"/>
          <w:szCs w:val="21"/>
        </w:rPr>
        <w:lastRenderedPageBreak/>
        <w:t>附</w:t>
      </w:r>
      <w:r w:rsidR="007968C1">
        <w:rPr>
          <w:rFonts w:ascii="宋体" w:hAnsi="宋体" w:hint="eastAsia"/>
          <w:b/>
          <w:sz w:val="28"/>
          <w:szCs w:val="21"/>
        </w:rPr>
        <w:t>件</w:t>
      </w:r>
      <w:r w:rsidR="001E4774" w:rsidRPr="00096138">
        <w:rPr>
          <w:rFonts w:ascii="宋体" w:hAnsi="宋体" w:hint="eastAsia"/>
          <w:b/>
          <w:sz w:val="28"/>
          <w:szCs w:val="21"/>
        </w:rPr>
        <w:t>2</w:t>
      </w:r>
      <w:r w:rsidRPr="00096138">
        <w:rPr>
          <w:rFonts w:ascii="宋体" w:hAnsi="宋体" w:hint="eastAsia"/>
          <w:b/>
          <w:sz w:val="28"/>
          <w:szCs w:val="21"/>
        </w:rPr>
        <w:t>：</w:t>
      </w:r>
      <w:r w:rsidR="007968C1">
        <w:rPr>
          <w:rFonts w:ascii="宋体" w:hAnsi="宋体" w:hint="eastAsia"/>
          <w:b/>
          <w:sz w:val="28"/>
          <w:szCs w:val="21"/>
        </w:rPr>
        <w:t xml:space="preserve"> </w:t>
      </w:r>
    </w:p>
    <w:p w:rsidR="00096138" w:rsidRPr="00096138" w:rsidRDefault="00096138" w:rsidP="00096138">
      <w:pPr>
        <w:pStyle w:val="BodyText1I"/>
        <w:ind w:firstLine="240"/>
      </w:pPr>
    </w:p>
    <w:p w:rsidR="003823EC" w:rsidRDefault="003823EC" w:rsidP="003823EC">
      <w:pPr>
        <w:spacing w:line="360" w:lineRule="exact"/>
        <w:ind w:firstLine="480"/>
        <w:jc w:val="center"/>
        <w:rPr>
          <w:rFonts w:ascii="宋体" w:hAnsi="宋体"/>
          <w:b/>
          <w:sz w:val="36"/>
          <w:szCs w:val="36"/>
        </w:rPr>
      </w:pPr>
      <w:r>
        <w:rPr>
          <w:rFonts w:ascii="宋体" w:hAnsi="宋体" w:hint="eastAsia"/>
          <w:b/>
          <w:sz w:val="36"/>
          <w:szCs w:val="36"/>
        </w:rPr>
        <w:t>招标</w:t>
      </w:r>
      <w:r w:rsidR="006743BF">
        <w:rPr>
          <w:rFonts w:ascii="宋体" w:hAnsi="宋体" w:hint="eastAsia"/>
          <w:b/>
          <w:sz w:val="36"/>
          <w:szCs w:val="36"/>
        </w:rPr>
        <w:t>报价</w:t>
      </w:r>
      <w:r>
        <w:rPr>
          <w:rFonts w:ascii="宋体" w:hAnsi="宋体" w:hint="eastAsia"/>
          <w:b/>
          <w:sz w:val="36"/>
          <w:szCs w:val="36"/>
        </w:rPr>
        <w:t>表</w:t>
      </w:r>
    </w:p>
    <w:p w:rsidR="007968C1" w:rsidRPr="007968C1" w:rsidRDefault="007968C1" w:rsidP="007968C1">
      <w:pPr>
        <w:pStyle w:val="BodyText1I"/>
        <w:ind w:firstLine="240"/>
      </w:pP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809"/>
        <w:gridCol w:w="2065"/>
        <w:gridCol w:w="1174"/>
        <w:gridCol w:w="2229"/>
        <w:gridCol w:w="1630"/>
        <w:gridCol w:w="1428"/>
      </w:tblGrid>
      <w:tr w:rsidR="003823EC" w:rsidTr="00E47BC7">
        <w:trPr>
          <w:trHeight w:val="551"/>
          <w:jc w:val="center"/>
        </w:trPr>
        <w:tc>
          <w:tcPr>
            <w:tcW w:w="433" w:type="pct"/>
            <w:shd w:val="clear" w:color="auto" w:fill="FFFFFF"/>
            <w:vAlign w:val="center"/>
          </w:tcPr>
          <w:p w:rsidR="003823EC" w:rsidRDefault="003823EC" w:rsidP="00E47BC7">
            <w:pPr>
              <w:jc w:val="center"/>
              <w:rPr>
                <w:rFonts w:ascii="宋体" w:hAnsi="宋体" w:cs="宋体"/>
                <w:bCs/>
                <w:szCs w:val="21"/>
              </w:rPr>
            </w:pPr>
            <w:r>
              <w:rPr>
                <w:rFonts w:ascii="宋体" w:hAnsi="宋体" w:cs="宋体" w:hint="eastAsia"/>
                <w:bCs/>
                <w:szCs w:val="21"/>
              </w:rPr>
              <w:t>合同包</w:t>
            </w:r>
          </w:p>
        </w:tc>
        <w:tc>
          <w:tcPr>
            <w:tcW w:w="1106" w:type="pct"/>
            <w:shd w:val="clear" w:color="auto" w:fill="FFFFFF"/>
            <w:vAlign w:val="center"/>
          </w:tcPr>
          <w:p w:rsidR="003823EC" w:rsidRDefault="003823EC" w:rsidP="00E47BC7">
            <w:pPr>
              <w:jc w:val="center"/>
              <w:rPr>
                <w:rFonts w:ascii="宋体" w:hAnsi="宋体" w:cs="宋体"/>
                <w:bCs/>
                <w:szCs w:val="21"/>
              </w:rPr>
            </w:pPr>
            <w:r>
              <w:rPr>
                <w:rFonts w:ascii="宋体" w:hAnsi="宋体" w:cs="宋体" w:hint="eastAsia"/>
                <w:bCs/>
                <w:szCs w:val="21"/>
              </w:rPr>
              <w:t>项目名称</w:t>
            </w:r>
          </w:p>
        </w:tc>
        <w:tc>
          <w:tcPr>
            <w:tcW w:w="629" w:type="pct"/>
            <w:shd w:val="clear" w:color="auto" w:fill="FFFFFF"/>
            <w:vAlign w:val="center"/>
          </w:tcPr>
          <w:p w:rsidR="003823EC" w:rsidRDefault="003823EC" w:rsidP="00E47BC7">
            <w:pPr>
              <w:jc w:val="center"/>
              <w:rPr>
                <w:rFonts w:ascii="宋体" w:hAnsi="宋体" w:cs="宋体"/>
                <w:bCs/>
                <w:szCs w:val="21"/>
              </w:rPr>
            </w:pPr>
            <w:r>
              <w:rPr>
                <w:rFonts w:ascii="宋体" w:hAnsi="宋体" w:cs="宋体" w:hint="eastAsia"/>
                <w:bCs/>
                <w:szCs w:val="21"/>
              </w:rPr>
              <w:t>数量</w:t>
            </w:r>
          </w:p>
        </w:tc>
        <w:tc>
          <w:tcPr>
            <w:tcW w:w="1194" w:type="pct"/>
            <w:shd w:val="clear" w:color="auto" w:fill="FFFFFF"/>
            <w:vAlign w:val="center"/>
          </w:tcPr>
          <w:p w:rsidR="003823EC" w:rsidRDefault="003823EC" w:rsidP="00E47BC7">
            <w:pPr>
              <w:pStyle w:val="a7"/>
              <w:spacing w:line="340" w:lineRule="exact"/>
              <w:jc w:val="center"/>
              <w:rPr>
                <w:rFonts w:hAnsi="宋体" w:cs="宋体"/>
                <w:szCs w:val="21"/>
              </w:rPr>
            </w:pPr>
            <w:r>
              <w:rPr>
                <w:rFonts w:hAnsi="宋体" w:cs="宋体" w:hint="eastAsia"/>
                <w:szCs w:val="21"/>
              </w:rPr>
              <w:t>主要要求</w:t>
            </w:r>
          </w:p>
        </w:tc>
        <w:tc>
          <w:tcPr>
            <w:tcW w:w="873" w:type="pct"/>
            <w:shd w:val="clear" w:color="auto" w:fill="FFFFFF"/>
            <w:vAlign w:val="center"/>
          </w:tcPr>
          <w:p w:rsidR="003823EC" w:rsidRDefault="003823EC" w:rsidP="00E47BC7">
            <w:pPr>
              <w:pStyle w:val="a7"/>
              <w:spacing w:line="340" w:lineRule="exact"/>
              <w:jc w:val="center"/>
              <w:rPr>
                <w:rFonts w:hAnsi="宋体" w:cs="宋体"/>
                <w:b/>
                <w:bCs/>
                <w:szCs w:val="21"/>
              </w:rPr>
            </w:pPr>
            <w:r>
              <w:rPr>
                <w:rFonts w:hAnsi="宋体" w:cs="宋体" w:hint="eastAsia"/>
                <w:szCs w:val="21"/>
              </w:rPr>
              <w:t>总价(元)</w:t>
            </w:r>
          </w:p>
        </w:tc>
        <w:tc>
          <w:tcPr>
            <w:tcW w:w="762" w:type="pct"/>
            <w:shd w:val="clear" w:color="auto" w:fill="FFFFFF"/>
            <w:vAlign w:val="center"/>
          </w:tcPr>
          <w:p w:rsidR="003823EC" w:rsidRDefault="00560443" w:rsidP="00E47BC7">
            <w:pPr>
              <w:pStyle w:val="a7"/>
              <w:spacing w:line="340" w:lineRule="exact"/>
              <w:jc w:val="center"/>
              <w:rPr>
                <w:rFonts w:hAnsi="宋体" w:cs="宋体"/>
                <w:szCs w:val="21"/>
              </w:rPr>
            </w:pPr>
            <w:r>
              <w:rPr>
                <w:rFonts w:hAnsi="宋体" w:cs="宋体" w:hint="eastAsia"/>
                <w:szCs w:val="21"/>
              </w:rPr>
              <w:t>/</w:t>
            </w:r>
          </w:p>
        </w:tc>
      </w:tr>
      <w:tr w:rsidR="003823EC" w:rsidTr="00E47BC7">
        <w:trPr>
          <w:cantSplit/>
          <w:trHeight w:val="463"/>
          <w:jc w:val="center"/>
        </w:trPr>
        <w:tc>
          <w:tcPr>
            <w:tcW w:w="433" w:type="pct"/>
            <w:shd w:val="clear" w:color="auto" w:fill="FFFFFF"/>
            <w:vAlign w:val="center"/>
          </w:tcPr>
          <w:p w:rsidR="003823EC" w:rsidRDefault="003823EC" w:rsidP="00E47BC7">
            <w:pPr>
              <w:jc w:val="center"/>
              <w:rPr>
                <w:rFonts w:ascii="宋体" w:hAnsi="宋体" w:cs="宋体"/>
                <w:bCs/>
                <w:szCs w:val="21"/>
              </w:rPr>
            </w:pPr>
            <w:r>
              <w:rPr>
                <w:rFonts w:ascii="宋体" w:hAnsi="宋体" w:cs="宋体" w:hint="eastAsia"/>
                <w:bCs/>
                <w:szCs w:val="21"/>
              </w:rPr>
              <w:t>1</w:t>
            </w:r>
          </w:p>
        </w:tc>
        <w:tc>
          <w:tcPr>
            <w:tcW w:w="1106" w:type="pct"/>
            <w:shd w:val="clear" w:color="auto" w:fill="FFFFFF"/>
            <w:vAlign w:val="center"/>
          </w:tcPr>
          <w:p w:rsidR="003823EC" w:rsidRDefault="001E4774" w:rsidP="00E47BC7">
            <w:pPr>
              <w:ind w:leftChars="46" w:left="97" w:rightChars="50" w:right="105"/>
              <w:jc w:val="center"/>
              <w:rPr>
                <w:rFonts w:ascii="宋体" w:hAnsi="宋体" w:cs="宋体"/>
                <w:color w:val="000000"/>
                <w:szCs w:val="21"/>
              </w:rPr>
            </w:pPr>
            <w:r w:rsidRPr="00655FBF">
              <w:rPr>
                <w:rFonts w:asciiTheme="minorEastAsia" w:hAnsiTheme="minorEastAsia" w:hint="eastAsia"/>
              </w:rPr>
              <w:t>福建省特种设备检验研究院龙岩分院充电桩项目</w:t>
            </w:r>
          </w:p>
        </w:tc>
        <w:tc>
          <w:tcPr>
            <w:tcW w:w="629" w:type="pct"/>
            <w:shd w:val="clear" w:color="auto" w:fill="FFFFFF"/>
            <w:vAlign w:val="center"/>
          </w:tcPr>
          <w:p w:rsidR="003823EC" w:rsidRDefault="00560443" w:rsidP="00E47BC7">
            <w:pPr>
              <w:jc w:val="center"/>
              <w:rPr>
                <w:rFonts w:ascii="宋体" w:hAnsi="宋体" w:cs="宋体"/>
                <w:color w:val="000000"/>
                <w:szCs w:val="21"/>
              </w:rPr>
            </w:pPr>
            <w:r w:rsidRPr="00E47BC7">
              <w:rPr>
                <w:rFonts w:asciiTheme="minorEastAsia" w:hAnsiTheme="minorEastAsia"/>
              </w:rPr>
              <w:t>1</w:t>
            </w:r>
            <w:r w:rsidRPr="00E47BC7">
              <w:rPr>
                <w:rFonts w:asciiTheme="minorEastAsia" w:hAnsiTheme="minorEastAsia" w:hint="eastAsia"/>
              </w:rPr>
              <w:t>台120kW一体式直流充电桩及6台7kw交流充电桩</w:t>
            </w:r>
          </w:p>
        </w:tc>
        <w:tc>
          <w:tcPr>
            <w:tcW w:w="1194" w:type="pct"/>
            <w:shd w:val="clear" w:color="auto" w:fill="FFFFFF"/>
            <w:vAlign w:val="center"/>
          </w:tcPr>
          <w:p w:rsidR="00560443" w:rsidRPr="00560443" w:rsidRDefault="00560443" w:rsidP="00560443">
            <w:pPr>
              <w:spacing w:line="480" w:lineRule="auto"/>
              <w:jc w:val="center"/>
              <w:outlineLvl w:val="0"/>
              <w:rPr>
                <w:rFonts w:asciiTheme="minorEastAsia" w:hAnsiTheme="minorEastAsia"/>
              </w:rPr>
            </w:pPr>
            <w:r>
              <w:rPr>
                <w:rFonts w:asciiTheme="minorEastAsia" w:hAnsiTheme="minorEastAsia" w:hint="eastAsia"/>
              </w:rPr>
              <w:t>详见</w:t>
            </w:r>
            <w:r w:rsidRPr="00560443">
              <w:rPr>
                <w:rFonts w:asciiTheme="minorEastAsia" w:hAnsiTheme="minorEastAsia" w:hint="eastAsia"/>
              </w:rPr>
              <w:t>招标内容及要求</w:t>
            </w:r>
            <w:r>
              <w:rPr>
                <w:rFonts w:asciiTheme="minorEastAsia" w:hAnsiTheme="minorEastAsia" w:hint="eastAsia"/>
              </w:rPr>
              <w:t>（附件1）</w:t>
            </w:r>
          </w:p>
          <w:p w:rsidR="003823EC" w:rsidRDefault="003823EC" w:rsidP="00E47BC7">
            <w:pPr>
              <w:spacing w:line="340" w:lineRule="exact"/>
              <w:jc w:val="center"/>
              <w:rPr>
                <w:rFonts w:ascii="宋体" w:hAnsi="宋体" w:cs="宋体"/>
                <w:bCs/>
                <w:szCs w:val="21"/>
              </w:rPr>
            </w:pPr>
          </w:p>
        </w:tc>
        <w:tc>
          <w:tcPr>
            <w:tcW w:w="873" w:type="pct"/>
            <w:shd w:val="clear" w:color="auto" w:fill="FFFFFF"/>
            <w:vAlign w:val="center"/>
          </w:tcPr>
          <w:p w:rsidR="003823EC" w:rsidRDefault="003823EC" w:rsidP="00E47BC7">
            <w:pPr>
              <w:jc w:val="center"/>
            </w:pPr>
          </w:p>
        </w:tc>
        <w:tc>
          <w:tcPr>
            <w:tcW w:w="762" w:type="pct"/>
            <w:shd w:val="clear" w:color="auto" w:fill="FFFFFF"/>
            <w:vAlign w:val="center"/>
          </w:tcPr>
          <w:p w:rsidR="003823EC" w:rsidRDefault="003823EC" w:rsidP="00E47BC7">
            <w:pPr>
              <w:jc w:val="center"/>
              <w:rPr>
                <w:rFonts w:ascii="宋体" w:hAnsi="宋体" w:cs="宋体"/>
              </w:rPr>
            </w:pPr>
            <w:r>
              <w:rPr>
                <w:rFonts w:ascii="宋体" w:hAnsi="宋体" w:cs="宋体" w:hint="eastAsia"/>
              </w:rPr>
              <w:t>/</w:t>
            </w:r>
          </w:p>
        </w:tc>
      </w:tr>
      <w:tr w:rsidR="003823EC" w:rsidTr="00E47BC7">
        <w:trPr>
          <w:cantSplit/>
          <w:trHeight w:val="463"/>
          <w:jc w:val="center"/>
        </w:trPr>
        <w:tc>
          <w:tcPr>
            <w:tcW w:w="5000" w:type="pct"/>
            <w:gridSpan w:val="6"/>
            <w:shd w:val="clear" w:color="auto" w:fill="FFFFFF"/>
            <w:vAlign w:val="center"/>
          </w:tcPr>
          <w:p w:rsidR="003823EC" w:rsidRDefault="003823EC" w:rsidP="00E47BC7">
            <w:pPr>
              <w:pStyle w:val="a7"/>
              <w:tabs>
                <w:tab w:val="left" w:pos="8360"/>
              </w:tabs>
              <w:adjustRightInd w:val="0"/>
              <w:snapToGrid w:val="0"/>
              <w:spacing w:line="440" w:lineRule="exact"/>
              <w:ind w:firstLineChars="200" w:firstLine="482"/>
              <w:jc w:val="left"/>
              <w:rPr>
                <w:rFonts w:hAnsi="宋体" w:cs="宋体"/>
                <w:b/>
                <w:bCs/>
                <w:sz w:val="24"/>
                <w:szCs w:val="24"/>
              </w:rPr>
            </w:pPr>
            <w:r>
              <w:rPr>
                <w:rFonts w:hAnsi="宋体" w:cs="宋体" w:hint="eastAsia"/>
                <w:b/>
                <w:bCs/>
                <w:sz w:val="24"/>
                <w:szCs w:val="24"/>
              </w:rPr>
              <w:t>★备注:</w:t>
            </w:r>
          </w:p>
          <w:p w:rsidR="003823EC" w:rsidRDefault="003823EC" w:rsidP="00E47BC7">
            <w:pPr>
              <w:adjustRightInd w:val="0"/>
              <w:snapToGrid w:val="0"/>
              <w:spacing w:line="440" w:lineRule="exact"/>
              <w:ind w:firstLineChars="200" w:firstLine="482"/>
              <w:outlineLvl w:val="1"/>
              <w:rPr>
                <w:rFonts w:ascii="宋体" w:hAnsi="宋体" w:cs="宋体"/>
                <w:b/>
                <w:bCs/>
                <w:sz w:val="24"/>
              </w:rPr>
            </w:pPr>
            <w:r>
              <w:rPr>
                <w:rFonts w:ascii="宋体" w:hAnsi="宋体" w:cs="宋体" w:hint="eastAsia"/>
                <w:b/>
                <w:bCs/>
                <w:sz w:val="24"/>
              </w:rPr>
              <w:t>1、本项为交钥匙工程。包含充电桩、变配电设备改造、高低压电缆的采购以及、电缆沟、设备基础施工、安装、场站改造、施工恢复等内容，在建设过程需要协调的所有事项，均由中标人负责。一切费用由中标人承担。</w:t>
            </w:r>
          </w:p>
          <w:p w:rsidR="003823EC" w:rsidRDefault="003823EC" w:rsidP="00E47BC7">
            <w:pPr>
              <w:adjustRightInd w:val="0"/>
              <w:snapToGrid w:val="0"/>
              <w:spacing w:line="440" w:lineRule="exact"/>
              <w:ind w:firstLineChars="200" w:firstLine="482"/>
              <w:outlineLvl w:val="1"/>
              <w:rPr>
                <w:rFonts w:ascii="宋体" w:hAnsi="宋体" w:cs="宋体"/>
                <w:b/>
                <w:bCs/>
                <w:sz w:val="24"/>
              </w:rPr>
            </w:pPr>
            <w:r>
              <w:rPr>
                <w:rFonts w:ascii="宋体" w:hAnsi="宋体" w:cs="宋体" w:hint="eastAsia"/>
                <w:b/>
                <w:bCs/>
                <w:sz w:val="24"/>
              </w:rPr>
              <w:t>2、本项目投标人按合同包报价，对同一合同包内所有品目号内容报价时必须完整。评标与授标以合同包为单位。报价不得超出招标文件规定的各合同包及各品目号最高限价。响应报价应包含本次项目所涉及的所有费用，包括货物制造、包装、运输、装卸、税金等一切相关费用。</w:t>
            </w:r>
          </w:p>
          <w:p w:rsidR="003823EC" w:rsidRDefault="003823EC" w:rsidP="00E47BC7">
            <w:pPr>
              <w:pStyle w:val="a7"/>
              <w:adjustRightInd w:val="0"/>
              <w:snapToGrid w:val="0"/>
              <w:spacing w:line="440" w:lineRule="exact"/>
              <w:ind w:firstLineChars="200" w:firstLine="482"/>
              <w:jc w:val="left"/>
              <w:rPr>
                <w:rFonts w:hAnsi="宋体" w:cs="宋体"/>
                <w:b/>
                <w:bCs/>
                <w:sz w:val="24"/>
                <w:szCs w:val="24"/>
              </w:rPr>
            </w:pPr>
            <w:r>
              <w:rPr>
                <w:rFonts w:hAnsi="宋体" w:cs="宋体" w:hint="eastAsia"/>
                <w:b/>
                <w:bCs/>
                <w:sz w:val="24"/>
                <w:szCs w:val="24"/>
              </w:rPr>
              <w:t>3、中标人应按合同规定履行全部的义务和承担全部的责任。未经采购人的允许，中标人不得将项目以任何名义和理由全部转包或部分分包，若发现转包或分包，视为中标人违约，采购人有权单方终止合同，中标人违约对采购人造成的损失的，需另行支付相应的赔偿。</w:t>
            </w:r>
          </w:p>
          <w:p w:rsidR="003823EC" w:rsidRDefault="003823EC" w:rsidP="00E47BC7">
            <w:pPr>
              <w:pStyle w:val="a7"/>
              <w:adjustRightInd w:val="0"/>
              <w:snapToGrid w:val="0"/>
              <w:spacing w:line="440" w:lineRule="exact"/>
              <w:ind w:firstLineChars="200" w:firstLine="482"/>
              <w:jc w:val="left"/>
              <w:rPr>
                <w:rFonts w:hAnsi="宋体" w:cs="宋体"/>
                <w:b/>
                <w:bCs/>
                <w:sz w:val="24"/>
                <w:szCs w:val="24"/>
              </w:rPr>
            </w:pPr>
            <w:r>
              <w:rPr>
                <w:rFonts w:hAnsi="宋体" w:cs="宋体" w:hint="eastAsia"/>
                <w:b/>
                <w:bCs/>
                <w:sz w:val="24"/>
                <w:szCs w:val="24"/>
              </w:rPr>
              <w:t>4.本招标文件未明确的其它约定事项或条款，待采购人与中标人签订合同时，由双方协商订立。</w:t>
            </w:r>
          </w:p>
          <w:p w:rsidR="003823EC" w:rsidRDefault="003823EC" w:rsidP="00E47BC7">
            <w:pPr>
              <w:jc w:val="center"/>
              <w:rPr>
                <w:rFonts w:ascii="宋体" w:hAnsi="宋体" w:cs="宋体"/>
              </w:rPr>
            </w:pPr>
            <w:r>
              <w:rPr>
                <w:rFonts w:ascii="宋体" w:hAnsi="宋体" w:cs="宋体" w:hint="eastAsia"/>
                <w:b/>
                <w:bCs/>
                <w:sz w:val="24"/>
              </w:rPr>
              <w:t>不满足或不接受上述条款的均导致</w:t>
            </w:r>
            <w:r>
              <w:rPr>
                <w:rFonts w:hAnsi="宋体" w:cs="宋体" w:hint="eastAsia"/>
                <w:b/>
                <w:bCs/>
                <w:sz w:val="24"/>
              </w:rPr>
              <w:t>投标</w:t>
            </w:r>
            <w:r>
              <w:rPr>
                <w:rFonts w:ascii="宋体" w:hAnsi="宋体" w:cs="宋体" w:hint="eastAsia"/>
                <w:b/>
                <w:bCs/>
                <w:sz w:val="24"/>
              </w:rPr>
              <w:t>无效。</w:t>
            </w:r>
          </w:p>
        </w:tc>
      </w:tr>
    </w:tbl>
    <w:p w:rsidR="003823EC" w:rsidRDefault="003823EC" w:rsidP="003823EC">
      <w:pPr>
        <w:spacing w:line="480" w:lineRule="exact"/>
        <w:rPr>
          <w:rFonts w:ascii="宋体" w:hAnsi="宋体"/>
          <w:szCs w:val="21"/>
        </w:rPr>
      </w:pPr>
      <w:r>
        <w:rPr>
          <w:rFonts w:ascii="宋体" w:hAnsi="宋体" w:hint="eastAsia"/>
          <w:szCs w:val="21"/>
        </w:rPr>
        <w:t>注：</w:t>
      </w:r>
    </w:p>
    <w:p w:rsidR="003823EC" w:rsidRDefault="003823EC" w:rsidP="003823EC">
      <w:pPr>
        <w:spacing w:line="420" w:lineRule="exact"/>
        <w:rPr>
          <w:rFonts w:ascii="宋体" w:hAnsi="宋体"/>
        </w:rPr>
      </w:pPr>
      <w:r>
        <w:rPr>
          <w:rFonts w:ascii="宋体" w:hAnsi="宋体" w:hint="eastAsia"/>
        </w:rPr>
        <w:t>1、投标供应商可按合同包投标，对同一个合同包内所有内容投标时必须完整。评标与授标以合同包为单位。</w:t>
      </w:r>
    </w:p>
    <w:p w:rsidR="003823EC" w:rsidRDefault="003823EC" w:rsidP="003823EC">
      <w:pPr>
        <w:spacing w:line="420" w:lineRule="exact"/>
        <w:rPr>
          <w:rFonts w:ascii="宋体" w:hAnsi="宋体"/>
        </w:rPr>
      </w:pPr>
      <w:r>
        <w:rPr>
          <w:rFonts w:ascii="宋体" w:hAnsi="宋体" w:hint="eastAsia"/>
        </w:rPr>
        <w:t>2、投标供应商应以包括服务所涉及的有关项目的所有费用进行报价，包括：设备、包装、运输、安装、调试、验收、人工、税金等一切费用。</w:t>
      </w:r>
    </w:p>
    <w:p w:rsidR="003823EC" w:rsidRDefault="003823EC" w:rsidP="003823EC">
      <w:pPr>
        <w:spacing w:line="420" w:lineRule="exact"/>
        <w:rPr>
          <w:rFonts w:ascii="宋体" w:hAnsi="宋体"/>
        </w:rPr>
      </w:pPr>
      <w:r>
        <w:rPr>
          <w:rFonts w:ascii="宋体" w:hAnsi="宋体" w:hint="eastAsia"/>
        </w:rPr>
        <w:t>3、中标投标供应商不得转包他人，若发现转包，采购人有权终止合同，并追究相应法律责任。</w:t>
      </w:r>
    </w:p>
    <w:p w:rsidR="003823EC" w:rsidRDefault="003823EC" w:rsidP="003823EC">
      <w:pPr>
        <w:spacing w:line="420" w:lineRule="exact"/>
        <w:rPr>
          <w:rFonts w:ascii="宋体" w:hAnsi="宋体"/>
        </w:rPr>
      </w:pPr>
      <w:r>
        <w:rPr>
          <w:rFonts w:ascii="宋体" w:hAnsi="宋体" w:hint="eastAsia"/>
        </w:rPr>
        <w:t>4、投标供应商必须由单位负责人或单位负责人正式授权的投标供应商代表参加开标会，随时接受评委询问，并予以解答。</w:t>
      </w:r>
    </w:p>
    <w:p w:rsidR="003823EC" w:rsidRDefault="003823EC" w:rsidP="003823EC">
      <w:pPr>
        <w:pStyle w:val="10"/>
        <w:rPr>
          <w:rFonts w:ascii="宋体" w:hAnsi="宋体"/>
        </w:rPr>
      </w:pPr>
      <w:r>
        <w:rPr>
          <w:rFonts w:ascii="宋体" w:hAnsi="宋体" w:hint="eastAsia"/>
        </w:rPr>
        <w:t>5</w:t>
      </w:r>
      <w:r w:rsidR="00D8239D">
        <w:rPr>
          <w:rFonts w:ascii="宋体" w:hAnsi="宋体" w:hint="eastAsia"/>
        </w:rPr>
        <w:t>、</w:t>
      </w:r>
      <w:r>
        <w:rPr>
          <w:rFonts w:ascii="宋体" w:hAnsi="宋体" w:hint="eastAsia"/>
        </w:rPr>
        <w:t>供应商报价时应综合考虑因政策性调整、各种材料、人工费市场价格浮动等因素造成的价格变动，在合同有效期内采购人不因市场价格变动而调整中标供应商的中标价格。</w:t>
      </w:r>
    </w:p>
    <w:p w:rsidR="003823EC" w:rsidRDefault="003823EC" w:rsidP="003823EC">
      <w:pPr>
        <w:pStyle w:val="10"/>
        <w:rPr>
          <w:rFonts w:ascii="宋体" w:hAnsi="宋体"/>
        </w:rPr>
      </w:pPr>
    </w:p>
    <w:p w:rsidR="007968C1" w:rsidRDefault="003823EC" w:rsidP="00096138">
      <w:pPr>
        <w:pStyle w:val="ab"/>
        <w:shd w:val="clear" w:color="auto" w:fill="FFFFFF"/>
        <w:spacing w:beforeAutospacing="0" w:after="150" w:afterAutospacing="0" w:line="300" w:lineRule="atLeast"/>
        <w:rPr>
          <w:b/>
          <w:bCs/>
          <w:sz w:val="28"/>
          <w:szCs w:val="21"/>
        </w:rPr>
      </w:pPr>
      <w:r w:rsidRPr="00096138">
        <w:rPr>
          <w:rFonts w:hint="eastAsia"/>
          <w:b/>
          <w:bCs/>
          <w:sz w:val="28"/>
          <w:szCs w:val="21"/>
        </w:rPr>
        <w:lastRenderedPageBreak/>
        <w:t>附</w:t>
      </w:r>
      <w:r w:rsidR="007968C1">
        <w:rPr>
          <w:rFonts w:hint="eastAsia"/>
          <w:b/>
          <w:bCs/>
          <w:sz w:val="28"/>
          <w:szCs w:val="21"/>
        </w:rPr>
        <w:t>件</w:t>
      </w:r>
      <w:r w:rsidR="006743BF" w:rsidRPr="00096138">
        <w:rPr>
          <w:rFonts w:hint="eastAsia"/>
          <w:b/>
          <w:bCs/>
          <w:sz w:val="28"/>
          <w:szCs w:val="21"/>
        </w:rPr>
        <w:t>3</w:t>
      </w:r>
      <w:r w:rsidR="007968C1">
        <w:rPr>
          <w:rFonts w:hint="eastAsia"/>
          <w:b/>
          <w:bCs/>
          <w:sz w:val="28"/>
          <w:szCs w:val="21"/>
        </w:rPr>
        <w:t>：</w:t>
      </w:r>
    </w:p>
    <w:p w:rsidR="003823EC" w:rsidRPr="00096138" w:rsidRDefault="00F11FC2" w:rsidP="007968C1">
      <w:pPr>
        <w:pStyle w:val="ab"/>
        <w:shd w:val="clear" w:color="auto" w:fill="FFFFFF"/>
        <w:spacing w:beforeAutospacing="0" w:after="150" w:afterAutospacing="0" w:line="300" w:lineRule="atLeast"/>
        <w:jc w:val="center"/>
        <w:rPr>
          <w:b/>
          <w:bCs/>
          <w:sz w:val="28"/>
          <w:szCs w:val="21"/>
        </w:rPr>
      </w:pPr>
      <w:r w:rsidRPr="00096138">
        <w:rPr>
          <w:rFonts w:hint="eastAsia"/>
          <w:b/>
          <w:bCs/>
          <w:sz w:val="28"/>
          <w:szCs w:val="21"/>
        </w:rPr>
        <w:t>龙岩特检院充电桩群工程清单</w:t>
      </w:r>
      <w:r w:rsidR="00EB0246" w:rsidRPr="00096138">
        <w:rPr>
          <w:rFonts w:hint="eastAsia"/>
          <w:b/>
          <w:bCs/>
          <w:sz w:val="28"/>
          <w:szCs w:val="21"/>
        </w:rPr>
        <w:t>（仅供参考）</w:t>
      </w:r>
    </w:p>
    <w:tbl>
      <w:tblPr>
        <w:tblStyle w:val="ac"/>
        <w:tblW w:w="0" w:type="auto"/>
        <w:tblLayout w:type="fixed"/>
        <w:tblLook w:val="04A0"/>
      </w:tblPr>
      <w:tblGrid>
        <w:gridCol w:w="817"/>
        <w:gridCol w:w="1134"/>
        <w:gridCol w:w="3119"/>
        <w:gridCol w:w="708"/>
        <w:gridCol w:w="1134"/>
        <w:gridCol w:w="2268"/>
      </w:tblGrid>
      <w:tr w:rsidR="00110D2C" w:rsidTr="007968C1">
        <w:tc>
          <w:tcPr>
            <w:tcW w:w="817" w:type="dxa"/>
            <w:vAlign w:val="center"/>
          </w:tcPr>
          <w:p w:rsidR="00110D2C" w:rsidRPr="007968C1" w:rsidRDefault="00110D2C" w:rsidP="003823EC">
            <w:pPr>
              <w:pStyle w:val="ab"/>
              <w:spacing w:beforeAutospacing="0" w:after="150" w:afterAutospacing="0" w:line="300" w:lineRule="atLeast"/>
              <w:rPr>
                <w:b/>
                <w:bCs/>
                <w:sz w:val="21"/>
                <w:szCs w:val="21"/>
              </w:rPr>
            </w:pPr>
            <w:r w:rsidRPr="007968C1">
              <w:rPr>
                <w:rFonts w:hint="eastAsia"/>
                <w:b/>
                <w:color w:val="000000"/>
                <w:sz w:val="20"/>
                <w:szCs w:val="20"/>
              </w:rPr>
              <w:t>序号</w:t>
            </w:r>
          </w:p>
        </w:tc>
        <w:tc>
          <w:tcPr>
            <w:tcW w:w="1134" w:type="dxa"/>
            <w:vAlign w:val="center"/>
          </w:tcPr>
          <w:p w:rsidR="00110D2C" w:rsidRPr="007968C1" w:rsidRDefault="00110D2C" w:rsidP="003823EC">
            <w:pPr>
              <w:pStyle w:val="ab"/>
              <w:spacing w:beforeAutospacing="0" w:after="150" w:afterAutospacing="0" w:line="300" w:lineRule="atLeast"/>
              <w:rPr>
                <w:b/>
                <w:sz w:val="21"/>
                <w:szCs w:val="21"/>
              </w:rPr>
            </w:pPr>
            <w:r w:rsidRPr="007968C1">
              <w:rPr>
                <w:rFonts w:hint="eastAsia"/>
                <w:b/>
                <w:sz w:val="21"/>
                <w:szCs w:val="21"/>
              </w:rPr>
              <w:t>项目名称</w:t>
            </w:r>
          </w:p>
        </w:tc>
        <w:tc>
          <w:tcPr>
            <w:tcW w:w="3119" w:type="dxa"/>
            <w:vAlign w:val="center"/>
          </w:tcPr>
          <w:p w:rsidR="00110D2C" w:rsidRPr="007968C1" w:rsidRDefault="00110D2C" w:rsidP="003823EC">
            <w:pPr>
              <w:pStyle w:val="ab"/>
              <w:spacing w:beforeAutospacing="0" w:after="150" w:afterAutospacing="0" w:line="300" w:lineRule="atLeast"/>
              <w:rPr>
                <w:b/>
                <w:sz w:val="21"/>
                <w:szCs w:val="21"/>
              </w:rPr>
            </w:pPr>
            <w:r w:rsidRPr="007968C1">
              <w:rPr>
                <w:rFonts w:hint="eastAsia"/>
                <w:b/>
                <w:color w:val="000000"/>
                <w:sz w:val="18"/>
                <w:szCs w:val="18"/>
              </w:rPr>
              <w:t>工程内容（规格、施工工艺、标准）</w:t>
            </w:r>
          </w:p>
        </w:tc>
        <w:tc>
          <w:tcPr>
            <w:tcW w:w="708" w:type="dxa"/>
            <w:vAlign w:val="center"/>
          </w:tcPr>
          <w:p w:rsidR="00110D2C" w:rsidRPr="007968C1" w:rsidRDefault="00110D2C" w:rsidP="003823EC">
            <w:pPr>
              <w:pStyle w:val="ab"/>
              <w:spacing w:beforeAutospacing="0" w:after="150" w:afterAutospacing="0" w:line="300" w:lineRule="atLeast"/>
              <w:rPr>
                <w:b/>
                <w:sz w:val="21"/>
                <w:szCs w:val="21"/>
              </w:rPr>
            </w:pPr>
            <w:r w:rsidRPr="007968C1">
              <w:rPr>
                <w:rFonts w:hint="eastAsia"/>
                <w:b/>
                <w:color w:val="000000"/>
                <w:sz w:val="18"/>
                <w:szCs w:val="18"/>
              </w:rPr>
              <w:t>单位</w:t>
            </w:r>
          </w:p>
        </w:tc>
        <w:tc>
          <w:tcPr>
            <w:tcW w:w="1134" w:type="dxa"/>
            <w:vAlign w:val="center"/>
          </w:tcPr>
          <w:p w:rsidR="00110D2C" w:rsidRPr="007968C1" w:rsidRDefault="00110D2C" w:rsidP="003823EC">
            <w:pPr>
              <w:pStyle w:val="ab"/>
              <w:spacing w:beforeAutospacing="0" w:after="150" w:afterAutospacing="0" w:line="300" w:lineRule="atLeast"/>
              <w:rPr>
                <w:b/>
                <w:sz w:val="21"/>
                <w:szCs w:val="21"/>
              </w:rPr>
            </w:pPr>
            <w:r w:rsidRPr="007968C1">
              <w:rPr>
                <w:rFonts w:hint="eastAsia"/>
                <w:b/>
                <w:sz w:val="21"/>
                <w:szCs w:val="21"/>
              </w:rPr>
              <w:t>工程量</w:t>
            </w:r>
          </w:p>
        </w:tc>
        <w:tc>
          <w:tcPr>
            <w:tcW w:w="2268" w:type="dxa"/>
            <w:vAlign w:val="center"/>
          </w:tcPr>
          <w:p w:rsidR="00110D2C" w:rsidRPr="007968C1" w:rsidRDefault="00110D2C" w:rsidP="003823EC">
            <w:pPr>
              <w:pStyle w:val="ab"/>
              <w:spacing w:beforeAutospacing="0" w:after="150" w:afterAutospacing="0" w:line="300" w:lineRule="atLeast"/>
              <w:rPr>
                <w:b/>
                <w:bCs/>
                <w:sz w:val="21"/>
                <w:szCs w:val="21"/>
              </w:rPr>
            </w:pPr>
            <w:r w:rsidRPr="007968C1">
              <w:rPr>
                <w:rFonts w:hint="eastAsia"/>
                <w:b/>
                <w:color w:val="000000"/>
                <w:sz w:val="20"/>
                <w:szCs w:val="20"/>
              </w:rPr>
              <w:t>备注</w:t>
            </w:r>
          </w:p>
        </w:tc>
      </w:tr>
      <w:tr w:rsidR="00110D2C" w:rsidTr="007968C1">
        <w:tc>
          <w:tcPr>
            <w:tcW w:w="817"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1</w:t>
            </w:r>
          </w:p>
        </w:tc>
        <w:tc>
          <w:tcPr>
            <w:tcW w:w="1134"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素土开挖、回填</w:t>
            </w:r>
          </w:p>
        </w:tc>
        <w:tc>
          <w:tcPr>
            <w:tcW w:w="3119"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18"/>
                <w:szCs w:val="18"/>
              </w:rPr>
              <w:t xml:space="preserve">1、素土，挖土断面：600*700mm                    2、开挖、预埋、回填           </w:t>
            </w:r>
          </w:p>
        </w:tc>
        <w:tc>
          <w:tcPr>
            <w:tcW w:w="708"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米</w:t>
            </w:r>
          </w:p>
        </w:tc>
        <w:tc>
          <w:tcPr>
            <w:tcW w:w="1134"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40</w:t>
            </w:r>
          </w:p>
        </w:tc>
        <w:tc>
          <w:tcPr>
            <w:tcW w:w="2268"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含搬运、清理、清洁</w:t>
            </w:r>
          </w:p>
        </w:tc>
      </w:tr>
      <w:tr w:rsidR="00110D2C" w:rsidTr="007968C1">
        <w:tc>
          <w:tcPr>
            <w:tcW w:w="817"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2</w:t>
            </w:r>
          </w:p>
        </w:tc>
        <w:tc>
          <w:tcPr>
            <w:tcW w:w="1134" w:type="dxa"/>
            <w:vAlign w:val="center"/>
          </w:tcPr>
          <w:p w:rsidR="00110D2C" w:rsidRDefault="00110D2C" w:rsidP="003823EC">
            <w:pPr>
              <w:pStyle w:val="ab"/>
              <w:spacing w:beforeAutospacing="0" w:after="150" w:afterAutospacing="0" w:line="300" w:lineRule="atLeast"/>
              <w:rPr>
                <w:b/>
                <w:bCs/>
                <w:sz w:val="21"/>
                <w:szCs w:val="21"/>
              </w:rPr>
            </w:pPr>
            <w:r>
              <w:rPr>
                <w:rFonts w:hint="eastAsia"/>
                <w:sz w:val="20"/>
                <w:szCs w:val="20"/>
              </w:rPr>
              <w:t>120KW充电桩基础制作</w:t>
            </w:r>
          </w:p>
        </w:tc>
        <w:tc>
          <w:tcPr>
            <w:tcW w:w="3119" w:type="dxa"/>
            <w:vAlign w:val="center"/>
          </w:tcPr>
          <w:p w:rsidR="00110D2C" w:rsidRDefault="00110D2C" w:rsidP="003823EC">
            <w:pPr>
              <w:pStyle w:val="ab"/>
              <w:spacing w:beforeAutospacing="0" w:after="150" w:afterAutospacing="0" w:line="300" w:lineRule="atLeast"/>
              <w:rPr>
                <w:b/>
                <w:bCs/>
                <w:sz w:val="21"/>
                <w:szCs w:val="21"/>
              </w:rPr>
            </w:pPr>
            <w:r>
              <w:rPr>
                <w:rFonts w:hint="eastAsia"/>
                <w:sz w:val="18"/>
                <w:szCs w:val="18"/>
              </w:rPr>
              <w:t>C25砼浇筑基础，规格：950*750*600，高出地坪：200mm</w:t>
            </w:r>
          </w:p>
        </w:tc>
        <w:tc>
          <w:tcPr>
            <w:tcW w:w="708" w:type="dxa"/>
            <w:vAlign w:val="center"/>
          </w:tcPr>
          <w:p w:rsidR="00110D2C" w:rsidRDefault="00110D2C" w:rsidP="003823EC">
            <w:pPr>
              <w:pStyle w:val="ab"/>
              <w:spacing w:beforeAutospacing="0" w:after="150" w:afterAutospacing="0" w:line="300" w:lineRule="atLeast"/>
              <w:rPr>
                <w:b/>
                <w:bCs/>
                <w:sz w:val="21"/>
                <w:szCs w:val="21"/>
              </w:rPr>
            </w:pPr>
            <w:r>
              <w:rPr>
                <w:rFonts w:hint="eastAsia"/>
                <w:sz w:val="20"/>
                <w:szCs w:val="20"/>
              </w:rPr>
              <w:t>座</w:t>
            </w:r>
          </w:p>
        </w:tc>
        <w:tc>
          <w:tcPr>
            <w:tcW w:w="1134"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1</w:t>
            </w:r>
          </w:p>
        </w:tc>
        <w:tc>
          <w:tcPr>
            <w:tcW w:w="2268"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含搬运、清理、清洁</w:t>
            </w:r>
          </w:p>
        </w:tc>
      </w:tr>
      <w:tr w:rsidR="00110D2C" w:rsidTr="007968C1">
        <w:tc>
          <w:tcPr>
            <w:tcW w:w="817"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3</w:t>
            </w:r>
          </w:p>
        </w:tc>
        <w:tc>
          <w:tcPr>
            <w:tcW w:w="1134" w:type="dxa"/>
            <w:vAlign w:val="center"/>
          </w:tcPr>
          <w:p w:rsidR="00110D2C" w:rsidRDefault="00110D2C" w:rsidP="003823EC">
            <w:pPr>
              <w:pStyle w:val="ab"/>
              <w:spacing w:beforeAutospacing="0" w:after="150" w:afterAutospacing="0" w:line="300" w:lineRule="atLeast"/>
              <w:rPr>
                <w:b/>
                <w:bCs/>
                <w:sz w:val="21"/>
                <w:szCs w:val="21"/>
              </w:rPr>
            </w:pPr>
            <w:r>
              <w:rPr>
                <w:rFonts w:hint="eastAsia"/>
                <w:sz w:val="20"/>
                <w:szCs w:val="20"/>
              </w:rPr>
              <w:t>120KW充电桩安装</w:t>
            </w:r>
          </w:p>
        </w:tc>
        <w:tc>
          <w:tcPr>
            <w:tcW w:w="3119" w:type="dxa"/>
            <w:vAlign w:val="center"/>
          </w:tcPr>
          <w:p w:rsidR="00110D2C" w:rsidRDefault="00110D2C" w:rsidP="003823EC">
            <w:pPr>
              <w:pStyle w:val="ab"/>
              <w:spacing w:beforeAutospacing="0" w:after="150" w:afterAutospacing="0" w:line="300" w:lineRule="atLeast"/>
              <w:rPr>
                <w:b/>
                <w:bCs/>
                <w:sz w:val="21"/>
                <w:szCs w:val="21"/>
              </w:rPr>
            </w:pPr>
            <w:r>
              <w:rPr>
                <w:rFonts w:hint="eastAsia"/>
                <w:sz w:val="18"/>
                <w:szCs w:val="18"/>
              </w:rPr>
              <w:t>120KW充电桩安装（含现场卸货）</w:t>
            </w:r>
          </w:p>
        </w:tc>
        <w:tc>
          <w:tcPr>
            <w:tcW w:w="708" w:type="dxa"/>
            <w:vAlign w:val="center"/>
          </w:tcPr>
          <w:p w:rsidR="00110D2C" w:rsidRDefault="00110D2C" w:rsidP="003823EC">
            <w:pPr>
              <w:pStyle w:val="ab"/>
              <w:spacing w:beforeAutospacing="0" w:after="150" w:afterAutospacing="0" w:line="300" w:lineRule="atLeast"/>
              <w:rPr>
                <w:b/>
                <w:bCs/>
                <w:sz w:val="21"/>
                <w:szCs w:val="21"/>
              </w:rPr>
            </w:pPr>
            <w:r>
              <w:rPr>
                <w:rFonts w:hint="eastAsia"/>
                <w:sz w:val="20"/>
                <w:szCs w:val="20"/>
              </w:rPr>
              <w:t>台</w:t>
            </w:r>
          </w:p>
        </w:tc>
        <w:tc>
          <w:tcPr>
            <w:tcW w:w="1134"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1</w:t>
            </w:r>
          </w:p>
        </w:tc>
        <w:tc>
          <w:tcPr>
            <w:tcW w:w="2268"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含搬运、清理、清洁</w:t>
            </w:r>
          </w:p>
        </w:tc>
      </w:tr>
      <w:tr w:rsidR="00110D2C" w:rsidTr="007968C1">
        <w:tc>
          <w:tcPr>
            <w:tcW w:w="817"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4</w:t>
            </w:r>
          </w:p>
        </w:tc>
        <w:tc>
          <w:tcPr>
            <w:tcW w:w="1134" w:type="dxa"/>
            <w:vAlign w:val="center"/>
          </w:tcPr>
          <w:p w:rsidR="00110D2C" w:rsidRDefault="00110D2C" w:rsidP="003823EC">
            <w:pPr>
              <w:pStyle w:val="ab"/>
              <w:spacing w:beforeAutospacing="0" w:after="150" w:afterAutospacing="0" w:line="300" w:lineRule="atLeast"/>
              <w:rPr>
                <w:b/>
                <w:bCs/>
                <w:sz w:val="21"/>
                <w:szCs w:val="21"/>
              </w:rPr>
            </w:pPr>
            <w:r>
              <w:rPr>
                <w:rFonts w:hint="eastAsia"/>
                <w:sz w:val="20"/>
                <w:szCs w:val="20"/>
              </w:rPr>
              <w:t>7KW充电基础制作</w:t>
            </w:r>
          </w:p>
        </w:tc>
        <w:tc>
          <w:tcPr>
            <w:tcW w:w="3119" w:type="dxa"/>
            <w:vAlign w:val="center"/>
          </w:tcPr>
          <w:p w:rsidR="00110D2C" w:rsidRDefault="00110D2C" w:rsidP="003823EC">
            <w:pPr>
              <w:pStyle w:val="ab"/>
              <w:spacing w:beforeAutospacing="0" w:after="150" w:afterAutospacing="0" w:line="300" w:lineRule="atLeast"/>
              <w:rPr>
                <w:b/>
                <w:bCs/>
                <w:sz w:val="21"/>
                <w:szCs w:val="21"/>
              </w:rPr>
            </w:pPr>
            <w:r>
              <w:rPr>
                <w:rFonts w:hint="eastAsia"/>
                <w:sz w:val="18"/>
                <w:szCs w:val="18"/>
              </w:rPr>
              <w:t>C25砼浇筑基础，规格：400*300*600，高出地坪：200mm</w:t>
            </w:r>
          </w:p>
        </w:tc>
        <w:tc>
          <w:tcPr>
            <w:tcW w:w="708" w:type="dxa"/>
            <w:vAlign w:val="center"/>
          </w:tcPr>
          <w:p w:rsidR="00110D2C" w:rsidRDefault="00110D2C" w:rsidP="003823EC">
            <w:pPr>
              <w:pStyle w:val="ab"/>
              <w:spacing w:beforeAutospacing="0" w:after="150" w:afterAutospacing="0" w:line="300" w:lineRule="atLeast"/>
              <w:rPr>
                <w:b/>
                <w:bCs/>
                <w:sz w:val="21"/>
                <w:szCs w:val="21"/>
              </w:rPr>
            </w:pPr>
            <w:r>
              <w:rPr>
                <w:rFonts w:hint="eastAsia"/>
                <w:sz w:val="20"/>
                <w:szCs w:val="20"/>
              </w:rPr>
              <w:t>座</w:t>
            </w:r>
          </w:p>
        </w:tc>
        <w:tc>
          <w:tcPr>
            <w:tcW w:w="1134"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6</w:t>
            </w:r>
          </w:p>
        </w:tc>
        <w:tc>
          <w:tcPr>
            <w:tcW w:w="2268"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含搬运、清理、清洁</w:t>
            </w:r>
          </w:p>
        </w:tc>
      </w:tr>
      <w:tr w:rsidR="00110D2C" w:rsidTr="007968C1">
        <w:tc>
          <w:tcPr>
            <w:tcW w:w="817"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5</w:t>
            </w:r>
          </w:p>
        </w:tc>
        <w:tc>
          <w:tcPr>
            <w:tcW w:w="1134" w:type="dxa"/>
            <w:vAlign w:val="center"/>
          </w:tcPr>
          <w:p w:rsidR="00110D2C" w:rsidRDefault="00110D2C" w:rsidP="003823EC">
            <w:pPr>
              <w:pStyle w:val="ab"/>
              <w:spacing w:beforeAutospacing="0" w:after="150" w:afterAutospacing="0" w:line="300" w:lineRule="atLeast"/>
              <w:rPr>
                <w:b/>
                <w:bCs/>
                <w:sz w:val="21"/>
                <w:szCs w:val="21"/>
              </w:rPr>
            </w:pPr>
            <w:r>
              <w:rPr>
                <w:rFonts w:hint="eastAsia"/>
                <w:sz w:val="20"/>
                <w:szCs w:val="20"/>
              </w:rPr>
              <w:t>7KW充电桩安装</w:t>
            </w:r>
          </w:p>
        </w:tc>
        <w:tc>
          <w:tcPr>
            <w:tcW w:w="3119" w:type="dxa"/>
            <w:vAlign w:val="center"/>
          </w:tcPr>
          <w:p w:rsidR="00110D2C" w:rsidRDefault="00110D2C" w:rsidP="003823EC">
            <w:pPr>
              <w:pStyle w:val="ab"/>
              <w:spacing w:beforeAutospacing="0" w:after="150" w:afterAutospacing="0" w:line="300" w:lineRule="atLeast"/>
              <w:rPr>
                <w:b/>
                <w:bCs/>
                <w:sz w:val="21"/>
                <w:szCs w:val="21"/>
              </w:rPr>
            </w:pPr>
            <w:r>
              <w:rPr>
                <w:rFonts w:hint="eastAsia"/>
                <w:sz w:val="18"/>
                <w:szCs w:val="18"/>
              </w:rPr>
              <w:t>7KW充电桩安装（含现场卸货）</w:t>
            </w:r>
          </w:p>
        </w:tc>
        <w:tc>
          <w:tcPr>
            <w:tcW w:w="708" w:type="dxa"/>
            <w:vAlign w:val="center"/>
          </w:tcPr>
          <w:p w:rsidR="00110D2C" w:rsidRDefault="00110D2C" w:rsidP="003823EC">
            <w:pPr>
              <w:pStyle w:val="ab"/>
              <w:spacing w:beforeAutospacing="0" w:after="150" w:afterAutospacing="0" w:line="300" w:lineRule="atLeast"/>
              <w:rPr>
                <w:b/>
                <w:bCs/>
                <w:sz w:val="21"/>
                <w:szCs w:val="21"/>
              </w:rPr>
            </w:pPr>
            <w:r>
              <w:rPr>
                <w:rFonts w:hint="eastAsia"/>
                <w:sz w:val="20"/>
                <w:szCs w:val="20"/>
              </w:rPr>
              <w:t>台</w:t>
            </w:r>
          </w:p>
        </w:tc>
        <w:tc>
          <w:tcPr>
            <w:tcW w:w="1134"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6</w:t>
            </w:r>
          </w:p>
        </w:tc>
        <w:tc>
          <w:tcPr>
            <w:tcW w:w="2268"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含搬运、清理、清洁</w:t>
            </w:r>
          </w:p>
        </w:tc>
      </w:tr>
      <w:tr w:rsidR="00110D2C" w:rsidTr="007968C1">
        <w:tc>
          <w:tcPr>
            <w:tcW w:w="817"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6</w:t>
            </w:r>
          </w:p>
        </w:tc>
        <w:tc>
          <w:tcPr>
            <w:tcW w:w="1134" w:type="dxa"/>
            <w:vAlign w:val="center"/>
          </w:tcPr>
          <w:p w:rsidR="00110D2C" w:rsidRDefault="00110D2C" w:rsidP="003823EC">
            <w:pPr>
              <w:pStyle w:val="ab"/>
              <w:spacing w:beforeAutospacing="0" w:after="150" w:afterAutospacing="0" w:line="300" w:lineRule="atLeast"/>
              <w:rPr>
                <w:b/>
                <w:bCs/>
                <w:sz w:val="21"/>
                <w:szCs w:val="21"/>
              </w:rPr>
            </w:pPr>
            <w:r>
              <w:rPr>
                <w:rFonts w:hint="eastAsia"/>
                <w:sz w:val="20"/>
                <w:szCs w:val="20"/>
              </w:rPr>
              <w:t>基础刷漆</w:t>
            </w:r>
          </w:p>
        </w:tc>
        <w:tc>
          <w:tcPr>
            <w:tcW w:w="3119" w:type="dxa"/>
            <w:vAlign w:val="center"/>
          </w:tcPr>
          <w:p w:rsidR="00110D2C" w:rsidRDefault="00110D2C" w:rsidP="003823EC">
            <w:pPr>
              <w:pStyle w:val="ab"/>
              <w:spacing w:beforeAutospacing="0" w:after="150" w:afterAutospacing="0" w:line="300" w:lineRule="atLeast"/>
              <w:rPr>
                <w:b/>
                <w:bCs/>
                <w:sz w:val="21"/>
                <w:szCs w:val="21"/>
              </w:rPr>
            </w:pPr>
            <w:r>
              <w:rPr>
                <w:rFonts w:hint="eastAsia"/>
                <w:sz w:val="18"/>
                <w:szCs w:val="18"/>
              </w:rPr>
              <w:t>（充电桩、配电箱、整理柜）基础表面刷漆，黄黑相间800，右斜45°</w:t>
            </w:r>
          </w:p>
        </w:tc>
        <w:tc>
          <w:tcPr>
            <w:tcW w:w="708" w:type="dxa"/>
            <w:vAlign w:val="center"/>
          </w:tcPr>
          <w:p w:rsidR="00110D2C" w:rsidRDefault="00110D2C" w:rsidP="003823EC">
            <w:pPr>
              <w:pStyle w:val="ab"/>
              <w:spacing w:beforeAutospacing="0" w:after="150" w:afterAutospacing="0" w:line="300" w:lineRule="atLeast"/>
              <w:rPr>
                <w:b/>
                <w:bCs/>
                <w:sz w:val="21"/>
                <w:szCs w:val="21"/>
              </w:rPr>
            </w:pPr>
            <w:r>
              <w:rPr>
                <w:rFonts w:hint="eastAsia"/>
                <w:sz w:val="20"/>
                <w:szCs w:val="20"/>
              </w:rPr>
              <w:t>座</w:t>
            </w:r>
          </w:p>
        </w:tc>
        <w:tc>
          <w:tcPr>
            <w:tcW w:w="1134"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7</w:t>
            </w:r>
          </w:p>
        </w:tc>
        <w:tc>
          <w:tcPr>
            <w:tcW w:w="2268"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含搬运、清理、清洁</w:t>
            </w:r>
          </w:p>
        </w:tc>
      </w:tr>
      <w:tr w:rsidR="00110D2C" w:rsidTr="007968C1">
        <w:tc>
          <w:tcPr>
            <w:tcW w:w="817"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7</w:t>
            </w:r>
          </w:p>
        </w:tc>
        <w:tc>
          <w:tcPr>
            <w:tcW w:w="1134"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车档采购及安装</w:t>
            </w:r>
          </w:p>
        </w:tc>
        <w:tc>
          <w:tcPr>
            <w:tcW w:w="3119"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18"/>
                <w:szCs w:val="18"/>
              </w:rPr>
              <w:t>1、钢管定位限位器（钢管DN80*2.5，灌混凝土，地脚入地150深），长度2m                 2、地面连接处开挖、预埋</w:t>
            </w:r>
          </w:p>
        </w:tc>
        <w:tc>
          <w:tcPr>
            <w:tcW w:w="708"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套</w:t>
            </w:r>
          </w:p>
        </w:tc>
        <w:tc>
          <w:tcPr>
            <w:tcW w:w="1134"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8</w:t>
            </w:r>
          </w:p>
        </w:tc>
        <w:tc>
          <w:tcPr>
            <w:tcW w:w="2268"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含搬运、清理、清洁</w:t>
            </w:r>
          </w:p>
        </w:tc>
      </w:tr>
      <w:tr w:rsidR="00110D2C" w:rsidTr="007968C1">
        <w:tc>
          <w:tcPr>
            <w:tcW w:w="817"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8</w:t>
            </w:r>
          </w:p>
        </w:tc>
        <w:tc>
          <w:tcPr>
            <w:tcW w:w="1134"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灭火器采购及位置摆放</w:t>
            </w:r>
          </w:p>
        </w:tc>
        <w:tc>
          <w:tcPr>
            <w:tcW w:w="3119" w:type="dxa"/>
            <w:vAlign w:val="center"/>
          </w:tcPr>
          <w:p w:rsidR="00110D2C" w:rsidRDefault="00110D2C" w:rsidP="003823EC">
            <w:pPr>
              <w:pStyle w:val="ab"/>
              <w:spacing w:beforeAutospacing="0" w:after="150" w:afterAutospacing="0" w:line="300" w:lineRule="atLeast"/>
              <w:rPr>
                <w:b/>
                <w:bCs/>
                <w:sz w:val="21"/>
                <w:szCs w:val="21"/>
              </w:rPr>
            </w:pPr>
            <w:r>
              <w:rPr>
                <w:rFonts w:hint="eastAsia"/>
                <w:sz w:val="18"/>
                <w:szCs w:val="18"/>
              </w:rPr>
              <w:t>磷酸铵盐干粉灭火器（2*5公斤）手提式，灭火器箱</w:t>
            </w:r>
          </w:p>
        </w:tc>
        <w:tc>
          <w:tcPr>
            <w:tcW w:w="708"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组</w:t>
            </w:r>
          </w:p>
        </w:tc>
        <w:tc>
          <w:tcPr>
            <w:tcW w:w="1134"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7</w:t>
            </w:r>
          </w:p>
        </w:tc>
        <w:tc>
          <w:tcPr>
            <w:tcW w:w="2268"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含搬运、清理、清洁</w:t>
            </w:r>
          </w:p>
        </w:tc>
      </w:tr>
      <w:tr w:rsidR="00110D2C" w:rsidTr="007968C1">
        <w:tc>
          <w:tcPr>
            <w:tcW w:w="817"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9</w:t>
            </w:r>
          </w:p>
        </w:tc>
        <w:tc>
          <w:tcPr>
            <w:tcW w:w="1134"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不锈钢动力箱</w:t>
            </w:r>
          </w:p>
        </w:tc>
        <w:tc>
          <w:tcPr>
            <w:tcW w:w="3119"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18"/>
                <w:szCs w:val="18"/>
              </w:rPr>
              <w:t>1）规格800*100*250、主断路器200A1个、17个40A断路器、铜牌、防水IP54           2）正泰品牌元器件</w:t>
            </w:r>
          </w:p>
        </w:tc>
        <w:tc>
          <w:tcPr>
            <w:tcW w:w="708"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个</w:t>
            </w:r>
          </w:p>
        </w:tc>
        <w:tc>
          <w:tcPr>
            <w:tcW w:w="1134"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1</w:t>
            </w:r>
          </w:p>
        </w:tc>
        <w:tc>
          <w:tcPr>
            <w:tcW w:w="2268"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含搬运、清理、清洁</w:t>
            </w:r>
          </w:p>
        </w:tc>
      </w:tr>
      <w:tr w:rsidR="00110D2C" w:rsidTr="007968C1">
        <w:tc>
          <w:tcPr>
            <w:tcW w:w="817"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10</w:t>
            </w:r>
          </w:p>
        </w:tc>
        <w:tc>
          <w:tcPr>
            <w:tcW w:w="1134"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不锈钢动力箱基础制作</w:t>
            </w:r>
          </w:p>
        </w:tc>
        <w:tc>
          <w:tcPr>
            <w:tcW w:w="3119" w:type="dxa"/>
            <w:vAlign w:val="center"/>
          </w:tcPr>
          <w:p w:rsidR="00110D2C" w:rsidRDefault="00110D2C" w:rsidP="003823EC">
            <w:pPr>
              <w:pStyle w:val="ab"/>
              <w:spacing w:beforeAutospacing="0" w:after="150" w:afterAutospacing="0" w:line="300" w:lineRule="atLeast"/>
              <w:rPr>
                <w:b/>
                <w:bCs/>
                <w:sz w:val="21"/>
                <w:szCs w:val="21"/>
              </w:rPr>
            </w:pPr>
            <w:r>
              <w:rPr>
                <w:rFonts w:hint="eastAsia"/>
                <w:sz w:val="18"/>
                <w:szCs w:val="18"/>
              </w:rPr>
              <w:t>C25砼浇筑基础，规格：1000*400*600，高出地坪：200mm</w:t>
            </w:r>
          </w:p>
        </w:tc>
        <w:tc>
          <w:tcPr>
            <w:tcW w:w="708"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座</w:t>
            </w:r>
          </w:p>
        </w:tc>
        <w:tc>
          <w:tcPr>
            <w:tcW w:w="1134"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1</w:t>
            </w:r>
          </w:p>
        </w:tc>
        <w:tc>
          <w:tcPr>
            <w:tcW w:w="2268"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含搬运、清理、清洁</w:t>
            </w:r>
          </w:p>
        </w:tc>
      </w:tr>
      <w:tr w:rsidR="00110D2C" w:rsidTr="007968C1">
        <w:tc>
          <w:tcPr>
            <w:tcW w:w="817"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11</w:t>
            </w:r>
          </w:p>
        </w:tc>
        <w:tc>
          <w:tcPr>
            <w:tcW w:w="1134"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工井新建</w:t>
            </w:r>
          </w:p>
        </w:tc>
        <w:tc>
          <w:tcPr>
            <w:tcW w:w="3119"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18"/>
                <w:szCs w:val="18"/>
              </w:rPr>
              <w:t>1)规格：800*1000*1000                  2)含球磨铸铁井盖</w:t>
            </w:r>
          </w:p>
        </w:tc>
        <w:tc>
          <w:tcPr>
            <w:tcW w:w="708"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座</w:t>
            </w:r>
          </w:p>
        </w:tc>
        <w:tc>
          <w:tcPr>
            <w:tcW w:w="1134"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1</w:t>
            </w:r>
          </w:p>
        </w:tc>
        <w:tc>
          <w:tcPr>
            <w:tcW w:w="2268"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含搬运、清理、清洁</w:t>
            </w:r>
          </w:p>
        </w:tc>
      </w:tr>
      <w:tr w:rsidR="00110D2C" w:rsidTr="007968C1">
        <w:tc>
          <w:tcPr>
            <w:tcW w:w="817"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12</w:t>
            </w:r>
          </w:p>
        </w:tc>
        <w:tc>
          <w:tcPr>
            <w:tcW w:w="1134"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电气配管</w:t>
            </w:r>
          </w:p>
        </w:tc>
        <w:tc>
          <w:tcPr>
            <w:tcW w:w="3119"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18"/>
                <w:szCs w:val="18"/>
              </w:rPr>
              <w:t>1)CPVC110采购及敷设</w:t>
            </w:r>
          </w:p>
        </w:tc>
        <w:tc>
          <w:tcPr>
            <w:tcW w:w="708"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米</w:t>
            </w:r>
          </w:p>
        </w:tc>
        <w:tc>
          <w:tcPr>
            <w:tcW w:w="1134"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40</w:t>
            </w:r>
          </w:p>
        </w:tc>
        <w:tc>
          <w:tcPr>
            <w:tcW w:w="2268"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含搬运、清理、清洁</w:t>
            </w:r>
          </w:p>
        </w:tc>
      </w:tr>
      <w:tr w:rsidR="00110D2C" w:rsidTr="007968C1">
        <w:tc>
          <w:tcPr>
            <w:tcW w:w="817"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13</w:t>
            </w:r>
          </w:p>
        </w:tc>
        <w:tc>
          <w:tcPr>
            <w:tcW w:w="1134"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电气配管</w:t>
            </w:r>
          </w:p>
        </w:tc>
        <w:tc>
          <w:tcPr>
            <w:tcW w:w="3119"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18"/>
                <w:szCs w:val="18"/>
              </w:rPr>
              <w:t>1)CPVC40采购及敷设</w:t>
            </w:r>
          </w:p>
        </w:tc>
        <w:tc>
          <w:tcPr>
            <w:tcW w:w="708"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米</w:t>
            </w:r>
          </w:p>
        </w:tc>
        <w:tc>
          <w:tcPr>
            <w:tcW w:w="1134"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40</w:t>
            </w:r>
          </w:p>
        </w:tc>
        <w:tc>
          <w:tcPr>
            <w:tcW w:w="2268"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含搬运、清理、清洁</w:t>
            </w:r>
          </w:p>
        </w:tc>
      </w:tr>
      <w:tr w:rsidR="00110D2C" w:rsidTr="007968C1">
        <w:tc>
          <w:tcPr>
            <w:tcW w:w="817"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14</w:t>
            </w:r>
          </w:p>
        </w:tc>
        <w:tc>
          <w:tcPr>
            <w:tcW w:w="1134"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电力电缆</w:t>
            </w:r>
          </w:p>
        </w:tc>
        <w:tc>
          <w:tcPr>
            <w:tcW w:w="3119"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18"/>
                <w:szCs w:val="18"/>
              </w:rPr>
              <w:t>1）yjv-3*95+2*50采购及敷设</w:t>
            </w:r>
          </w:p>
        </w:tc>
        <w:tc>
          <w:tcPr>
            <w:tcW w:w="708"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米</w:t>
            </w:r>
          </w:p>
        </w:tc>
        <w:tc>
          <w:tcPr>
            <w:tcW w:w="1134"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64</w:t>
            </w:r>
          </w:p>
        </w:tc>
        <w:tc>
          <w:tcPr>
            <w:tcW w:w="2268"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120KW进线/按照铜价65000元/吨填报</w:t>
            </w:r>
          </w:p>
        </w:tc>
      </w:tr>
      <w:tr w:rsidR="00110D2C" w:rsidTr="007968C1">
        <w:tc>
          <w:tcPr>
            <w:tcW w:w="817"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lastRenderedPageBreak/>
              <w:t>15</w:t>
            </w:r>
          </w:p>
        </w:tc>
        <w:tc>
          <w:tcPr>
            <w:tcW w:w="1134"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电缆终端制作</w:t>
            </w:r>
          </w:p>
        </w:tc>
        <w:tc>
          <w:tcPr>
            <w:tcW w:w="3119"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18"/>
                <w:szCs w:val="18"/>
              </w:rPr>
              <w:t>3*95+2*50终端制作</w:t>
            </w:r>
          </w:p>
        </w:tc>
        <w:tc>
          <w:tcPr>
            <w:tcW w:w="708"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套</w:t>
            </w:r>
          </w:p>
        </w:tc>
        <w:tc>
          <w:tcPr>
            <w:tcW w:w="1134"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2</w:t>
            </w:r>
          </w:p>
        </w:tc>
        <w:tc>
          <w:tcPr>
            <w:tcW w:w="2268"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A77-9-250A柜至动力柜进线</w:t>
            </w:r>
          </w:p>
        </w:tc>
      </w:tr>
      <w:tr w:rsidR="00110D2C" w:rsidTr="007968C1">
        <w:tc>
          <w:tcPr>
            <w:tcW w:w="817"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16</w:t>
            </w:r>
          </w:p>
        </w:tc>
        <w:tc>
          <w:tcPr>
            <w:tcW w:w="1134"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电力电缆</w:t>
            </w:r>
          </w:p>
        </w:tc>
        <w:tc>
          <w:tcPr>
            <w:tcW w:w="3119"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18"/>
                <w:szCs w:val="18"/>
              </w:rPr>
              <w:t>1）yjv-3*70+2*35采购及敷设</w:t>
            </w:r>
          </w:p>
        </w:tc>
        <w:tc>
          <w:tcPr>
            <w:tcW w:w="708"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米</w:t>
            </w:r>
          </w:p>
        </w:tc>
        <w:tc>
          <w:tcPr>
            <w:tcW w:w="1134"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127</w:t>
            </w:r>
          </w:p>
        </w:tc>
        <w:tc>
          <w:tcPr>
            <w:tcW w:w="2268"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含搬运、清理、清洁</w:t>
            </w:r>
          </w:p>
        </w:tc>
      </w:tr>
      <w:tr w:rsidR="00110D2C" w:rsidTr="007968C1">
        <w:tc>
          <w:tcPr>
            <w:tcW w:w="817"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17</w:t>
            </w:r>
          </w:p>
        </w:tc>
        <w:tc>
          <w:tcPr>
            <w:tcW w:w="1134"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电缆终端制作</w:t>
            </w:r>
          </w:p>
        </w:tc>
        <w:tc>
          <w:tcPr>
            <w:tcW w:w="3119"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3*70+2*35终端制作</w:t>
            </w:r>
          </w:p>
        </w:tc>
        <w:tc>
          <w:tcPr>
            <w:tcW w:w="708"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套</w:t>
            </w:r>
          </w:p>
        </w:tc>
        <w:tc>
          <w:tcPr>
            <w:tcW w:w="1134"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2</w:t>
            </w:r>
          </w:p>
        </w:tc>
        <w:tc>
          <w:tcPr>
            <w:tcW w:w="2268"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A77-7-200A柜至动力柜进线</w:t>
            </w:r>
          </w:p>
        </w:tc>
      </w:tr>
      <w:tr w:rsidR="00110D2C" w:rsidTr="007968C1">
        <w:tc>
          <w:tcPr>
            <w:tcW w:w="817"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18</w:t>
            </w:r>
          </w:p>
        </w:tc>
        <w:tc>
          <w:tcPr>
            <w:tcW w:w="1134"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电力电缆</w:t>
            </w:r>
          </w:p>
        </w:tc>
        <w:tc>
          <w:tcPr>
            <w:tcW w:w="3119"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yjv-3*10采购及敷设</w:t>
            </w:r>
          </w:p>
        </w:tc>
        <w:tc>
          <w:tcPr>
            <w:tcW w:w="708"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米</w:t>
            </w:r>
          </w:p>
        </w:tc>
        <w:tc>
          <w:tcPr>
            <w:tcW w:w="1134"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147</w:t>
            </w:r>
          </w:p>
        </w:tc>
        <w:tc>
          <w:tcPr>
            <w:tcW w:w="2268" w:type="dxa"/>
            <w:vAlign w:val="center"/>
          </w:tcPr>
          <w:p w:rsidR="00110D2C" w:rsidRDefault="00110D2C" w:rsidP="003823EC">
            <w:pPr>
              <w:pStyle w:val="ab"/>
              <w:spacing w:beforeAutospacing="0" w:after="150" w:afterAutospacing="0" w:line="300" w:lineRule="atLeast"/>
              <w:rPr>
                <w:b/>
                <w:bCs/>
                <w:sz w:val="21"/>
                <w:szCs w:val="21"/>
              </w:rPr>
            </w:pPr>
            <w:r>
              <w:rPr>
                <w:rFonts w:hint="eastAsia"/>
                <w:color w:val="000000"/>
                <w:sz w:val="20"/>
                <w:szCs w:val="20"/>
              </w:rPr>
              <w:t>室外动力柜至7KW充电桩</w:t>
            </w:r>
          </w:p>
        </w:tc>
      </w:tr>
    </w:tbl>
    <w:p w:rsidR="003823EC" w:rsidRDefault="003823EC">
      <w:pPr>
        <w:pStyle w:val="ab"/>
        <w:shd w:val="clear" w:color="auto" w:fill="FFFFFF"/>
        <w:spacing w:beforeAutospacing="0" w:after="150" w:afterAutospacing="0" w:line="300" w:lineRule="atLeast"/>
        <w:ind w:firstLineChars="100" w:firstLine="211"/>
        <w:rPr>
          <w:b/>
          <w:bCs/>
          <w:sz w:val="21"/>
          <w:szCs w:val="21"/>
        </w:rPr>
      </w:pPr>
    </w:p>
    <w:p w:rsidR="00096138" w:rsidRDefault="00096138">
      <w:pPr>
        <w:pStyle w:val="ab"/>
        <w:shd w:val="clear" w:color="auto" w:fill="FFFFFF"/>
        <w:spacing w:beforeAutospacing="0" w:after="150" w:afterAutospacing="0" w:line="300" w:lineRule="atLeast"/>
        <w:ind w:firstLineChars="100" w:firstLine="211"/>
        <w:rPr>
          <w:b/>
          <w:bCs/>
          <w:sz w:val="21"/>
          <w:szCs w:val="21"/>
        </w:rPr>
      </w:pPr>
    </w:p>
    <w:p w:rsidR="00096138" w:rsidRDefault="00096138">
      <w:pPr>
        <w:pStyle w:val="ab"/>
        <w:shd w:val="clear" w:color="auto" w:fill="FFFFFF"/>
        <w:spacing w:beforeAutospacing="0" w:after="150" w:afterAutospacing="0" w:line="300" w:lineRule="atLeast"/>
        <w:ind w:firstLineChars="100" w:firstLine="211"/>
        <w:rPr>
          <w:b/>
          <w:bCs/>
          <w:sz w:val="21"/>
          <w:szCs w:val="21"/>
        </w:rPr>
      </w:pPr>
    </w:p>
    <w:p w:rsidR="00096138" w:rsidRDefault="00096138">
      <w:pPr>
        <w:pStyle w:val="ab"/>
        <w:shd w:val="clear" w:color="auto" w:fill="FFFFFF"/>
        <w:spacing w:beforeAutospacing="0" w:after="150" w:afterAutospacing="0" w:line="300" w:lineRule="atLeast"/>
        <w:ind w:firstLineChars="100" w:firstLine="211"/>
        <w:rPr>
          <w:b/>
          <w:bCs/>
          <w:sz w:val="21"/>
          <w:szCs w:val="21"/>
        </w:rPr>
      </w:pPr>
    </w:p>
    <w:p w:rsidR="00096138" w:rsidRDefault="00096138">
      <w:pPr>
        <w:pStyle w:val="ab"/>
        <w:shd w:val="clear" w:color="auto" w:fill="FFFFFF"/>
        <w:spacing w:beforeAutospacing="0" w:after="150" w:afterAutospacing="0" w:line="300" w:lineRule="atLeast"/>
        <w:ind w:firstLineChars="100" w:firstLine="211"/>
        <w:rPr>
          <w:b/>
          <w:bCs/>
          <w:sz w:val="21"/>
          <w:szCs w:val="21"/>
        </w:rPr>
      </w:pPr>
    </w:p>
    <w:p w:rsidR="00096138" w:rsidRDefault="00096138">
      <w:pPr>
        <w:pStyle w:val="ab"/>
        <w:shd w:val="clear" w:color="auto" w:fill="FFFFFF"/>
        <w:spacing w:beforeAutospacing="0" w:after="150" w:afterAutospacing="0" w:line="300" w:lineRule="atLeast"/>
        <w:ind w:firstLineChars="100" w:firstLine="211"/>
        <w:rPr>
          <w:b/>
          <w:bCs/>
          <w:sz w:val="21"/>
          <w:szCs w:val="21"/>
        </w:rPr>
      </w:pPr>
    </w:p>
    <w:p w:rsidR="00096138" w:rsidRDefault="00096138">
      <w:pPr>
        <w:pStyle w:val="ab"/>
        <w:shd w:val="clear" w:color="auto" w:fill="FFFFFF"/>
        <w:spacing w:beforeAutospacing="0" w:after="150" w:afterAutospacing="0" w:line="300" w:lineRule="atLeast"/>
        <w:ind w:firstLineChars="100" w:firstLine="211"/>
        <w:rPr>
          <w:b/>
          <w:bCs/>
          <w:sz w:val="21"/>
          <w:szCs w:val="21"/>
        </w:rPr>
      </w:pPr>
    </w:p>
    <w:p w:rsidR="00096138" w:rsidRDefault="00096138">
      <w:pPr>
        <w:pStyle w:val="ab"/>
        <w:shd w:val="clear" w:color="auto" w:fill="FFFFFF"/>
        <w:spacing w:beforeAutospacing="0" w:after="150" w:afterAutospacing="0" w:line="300" w:lineRule="atLeast"/>
        <w:ind w:firstLineChars="100" w:firstLine="211"/>
        <w:rPr>
          <w:b/>
          <w:bCs/>
          <w:sz w:val="21"/>
          <w:szCs w:val="21"/>
        </w:rPr>
      </w:pPr>
    </w:p>
    <w:p w:rsidR="00096138" w:rsidRDefault="00096138">
      <w:pPr>
        <w:pStyle w:val="ab"/>
        <w:shd w:val="clear" w:color="auto" w:fill="FFFFFF"/>
        <w:spacing w:beforeAutospacing="0" w:after="150" w:afterAutospacing="0" w:line="300" w:lineRule="atLeast"/>
        <w:ind w:firstLineChars="100" w:firstLine="211"/>
        <w:rPr>
          <w:b/>
          <w:bCs/>
          <w:sz w:val="21"/>
          <w:szCs w:val="21"/>
        </w:rPr>
      </w:pPr>
    </w:p>
    <w:p w:rsidR="00096138" w:rsidRDefault="00096138">
      <w:pPr>
        <w:pStyle w:val="ab"/>
        <w:shd w:val="clear" w:color="auto" w:fill="FFFFFF"/>
        <w:spacing w:beforeAutospacing="0" w:after="150" w:afterAutospacing="0" w:line="300" w:lineRule="atLeast"/>
        <w:ind w:firstLineChars="100" w:firstLine="211"/>
        <w:rPr>
          <w:b/>
          <w:bCs/>
          <w:sz w:val="21"/>
          <w:szCs w:val="21"/>
        </w:rPr>
      </w:pPr>
    </w:p>
    <w:p w:rsidR="00096138" w:rsidRDefault="00096138">
      <w:pPr>
        <w:pStyle w:val="ab"/>
        <w:shd w:val="clear" w:color="auto" w:fill="FFFFFF"/>
        <w:spacing w:beforeAutospacing="0" w:after="150" w:afterAutospacing="0" w:line="300" w:lineRule="atLeast"/>
        <w:ind w:firstLineChars="100" w:firstLine="211"/>
        <w:rPr>
          <w:b/>
          <w:bCs/>
          <w:sz w:val="21"/>
          <w:szCs w:val="21"/>
        </w:rPr>
      </w:pPr>
    </w:p>
    <w:p w:rsidR="00096138" w:rsidRDefault="00096138">
      <w:pPr>
        <w:pStyle w:val="ab"/>
        <w:shd w:val="clear" w:color="auto" w:fill="FFFFFF"/>
        <w:spacing w:beforeAutospacing="0" w:after="150" w:afterAutospacing="0" w:line="300" w:lineRule="atLeast"/>
        <w:ind w:firstLineChars="100" w:firstLine="211"/>
        <w:rPr>
          <w:b/>
          <w:bCs/>
          <w:sz w:val="21"/>
          <w:szCs w:val="21"/>
        </w:rPr>
      </w:pPr>
    </w:p>
    <w:p w:rsidR="00096138" w:rsidRDefault="00096138">
      <w:pPr>
        <w:pStyle w:val="ab"/>
        <w:shd w:val="clear" w:color="auto" w:fill="FFFFFF"/>
        <w:spacing w:beforeAutospacing="0" w:after="150" w:afterAutospacing="0" w:line="300" w:lineRule="atLeast"/>
        <w:ind w:firstLineChars="100" w:firstLine="211"/>
        <w:rPr>
          <w:b/>
          <w:bCs/>
          <w:sz w:val="21"/>
          <w:szCs w:val="21"/>
        </w:rPr>
      </w:pPr>
    </w:p>
    <w:p w:rsidR="00096138" w:rsidRDefault="00096138">
      <w:pPr>
        <w:pStyle w:val="ab"/>
        <w:shd w:val="clear" w:color="auto" w:fill="FFFFFF"/>
        <w:spacing w:beforeAutospacing="0" w:after="150" w:afterAutospacing="0" w:line="300" w:lineRule="atLeast"/>
        <w:ind w:firstLineChars="100" w:firstLine="211"/>
        <w:rPr>
          <w:b/>
          <w:bCs/>
          <w:sz w:val="21"/>
          <w:szCs w:val="21"/>
        </w:rPr>
      </w:pPr>
    </w:p>
    <w:p w:rsidR="00096138" w:rsidRDefault="00096138">
      <w:pPr>
        <w:pStyle w:val="ab"/>
        <w:shd w:val="clear" w:color="auto" w:fill="FFFFFF"/>
        <w:spacing w:beforeAutospacing="0" w:after="150" w:afterAutospacing="0" w:line="300" w:lineRule="atLeast"/>
        <w:ind w:firstLineChars="100" w:firstLine="211"/>
        <w:rPr>
          <w:b/>
          <w:bCs/>
          <w:sz w:val="21"/>
          <w:szCs w:val="21"/>
        </w:rPr>
      </w:pPr>
    </w:p>
    <w:p w:rsidR="00096138" w:rsidRDefault="00096138">
      <w:pPr>
        <w:pStyle w:val="ab"/>
        <w:shd w:val="clear" w:color="auto" w:fill="FFFFFF"/>
        <w:spacing w:beforeAutospacing="0" w:after="150" w:afterAutospacing="0" w:line="300" w:lineRule="atLeast"/>
        <w:ind w:firstLineChars="100" w:firstLine="211"/>
        <w:rPr>
          <w:b/>
          <w:bCs/>
          <w:sz w:val="21"/>
          <w:szCs w:val="21"/>
        </w:rPr>
      </w:pPr>
    </w:p>
    <w:p w:rsidR="007968C1" w:rsidRDefault="007968C1">
      <w:pPr>
        <w:pStyle w:val="ab"/>
        <w:shd w:val="clear" w:color="auto" w:fill="FFFFFF"/>
        <w:spacing w:beforeAutospacing="0" w:after="150" w:afterAutospacing="0" w:line="300" w:lineRule="atLeast"/>
        <w:ind w:firstLineChars="100" w:firstLine="211"/>
        <w:rPr>
          <w:b/>
          <w:bCs/>
          <w:sz w:val="21"/>
          <w:szCs w:val="21"/>
        </w:rPr>
      </w:pPr>
    </w:p>
    <w:p w:rsidR="007968C1" w:rsidRDefault="007968C1">
      <w:pPr>
        <w:pStyle w:val="ab"/>
        <w:shd w:val="clear" w:color="auto" w:fill="FFFFFF"/>
        <w:spacing w:beforeAutospacing="0" w:after="150" w:afterAutospacing="0" w:line="300" w:lineRule="atLeast"/>
        <w:ind w:firstLineChars="100" w:firstLine="211"/>
        <w:rPr>
          <w:b/>
          <w:bCs/>
          <w:sz w:val="21"/>
          <w:szCs w:val="21"/>
        </w:rPr>
      </w:pPr>
    </w:p>
    <w:p w:rsidR="007968C1" w:rsidRDefault="007968C1">
      <w:pPr>
        <w:pStyle w:val="ab"/>
        <w:shd w:val="clear" w:color="auto" w:fill="FFFFFF"/>
        <w:spacing w:beforeAutospacing="0" w:after="150" w:afterAutospacing="0" w:line="300" w:lineRule="atLeast"/>
        <w:ind w:firstLineChars="100" w:firstLine="211"/>
        <w:rPr>
          <w:b/>
          <w:bCs/>
          <w:sz w:val="21"/>
          <w:szCs w:val="21"/>
        </w:rPr>
      </w:pPr>
    </w:p>
    <w:p w:rsidR="007968C1" w:rsidRDefault="007968C1">
      <w:pPr>
        <w:pStyle w:val="ab"/>
        <w:shd w:val="clear" w:color="auto" w:fill="FFFFFF"/>
        <w:spacing w:beforeAutospacing="0" w:after="150" w:afterAutospacing="0" w:line="300" w:lineRule="atLeast"/>
        <w:ind w:firstLineChars="100" w:firstLine="211"/>
        <w:rPr>
          <w:b/>
          <w:bCs/>
          <w:sz w:val="21"/>
          <w:szCs w:val="21"/>
        </w:rPr>
      </w:pPr>
    </w:p>
    <w:p w:rsidR="007968C1" w:rsidRDefault="007968C1">
      <w:pPr>
        <w:pStyle w:val="ab"/>
        <w:shd w:val="clear" w:color="auto" w:fill="FFFFFF"/>
        <w:spacing w:beforeAutospacing="0" w:after="150" w:afterAutospacing="0" w:line="300" w:lineRule="atLeast"/>
        <w:ind w:firstLineChars="100" w:firstLine="211"/>
        <w:rPr>
          <w:b/>
          <w:bCs/>
          <w:sz w:val="21"/>
          <w:szCs w:val="21"/>
        </w:rPr>
      </w:pPr>
    </w:p>
    <w:p w:rsidR="007968C1" w:rsidRDefault="007968C1">
      <w:pPr>
        <w:pStyle w:val="ab"/>
        <w:shd w:val="clear" w:color="auto" w:fill="FFFFFF"/>
        <w:spacing w:beforeAutospacing="0" w:after="150" w:afterAutospacing="0" w:line="300" w:lineRule="atLeast"/>
        <w:ind w:firstLineChars="100" w:firstLine="211"/>
        <w:rPr>
          <w:b/>
          <w:bCs/>
          <w:sz w:val="21"/>
          <w:szCs w:val="21"/>
        </w:rPr>
      </w:pPr>
    </w:p>
    <w:p w:rsidR="007968C1" w:rsidRDefault="007968C1">
      <w:pPr>
        <w:pStyle w:val="ab"/>
        <w:shd w:val="clear" w:color="auto" w:fill="FFFFFF"/>
        <w:spacing w:beforeAutospacing="0" w:after="150" w:afterAutospacing="0" w:line="300" w:lineRule="atLeast"/>
        <w:ind w:firstLineChars="100" w:firstLine="211"/>
        <w:rPr>
          <w:b/>
          <w:bCs/>
          <w:sz w:val="21"/>
          <w:szCs w:val="21"/>
        </w:rPr>
      </w:pPr>
    </w:p>
    <w:p w:rsidR="007968C1" w:rsidRDefault="007968C1">
      <w:pPr>
        <w:pStyle w:val="ab"/>
        <w:shd w:val="clear" w:color="auto" w:fill="FFFFFF"/>
        <w:spacing w:beforeAutospacing="0" w:after="150" w:afterAutospacing="0" w:line="300" w:lineRule="atLeast"/>
        <w:ind w:firstLineChars="100" w:firstLine="211"/>
        <w:rPr>
          <w:b/>
          <w:bCs/>
          <w:sz w:val="21"/>
          <w:szCs w:val="21"/>
        </w:rPr>
      </w:pPr>
    </w:p>
    <w:p w:rsidR="00096138" w:rsidRDefault="00096138">
      <w:pPr>
        <w:pStyle w:val="ab"/>
        <w:shd w:val="clear" w:color="auto" w:fill="FFFFFF"/>
        <w:spacing w:beforeAutospacing="0" w:after="150" w:afterAutospacing="0" w:line="300" w:lineRule="atLeast"/>
        <w:ind w:firstLineChars="100" w:firstLine="211"/>
        <w:rPr>
          <w:b/>
          <w:bCs/>
          <w:sz w:val="21"/>
          <w:szCs w:val="21"/>
        </w:rPr>
      </w:pPr>
    </w:p>
    <w:p w:rsidR="00691E89" w:rsidRPr="003B2B7C" w:rsidRDefault="00691E89" w:rsidP="00691E89">
      <w:pPr>
        <w:widowControl/>
        <w:spacing w:before="100" w:beforeAutospacing="1" w:after="100" w:afterAutospacing="1"/>
        <w:jc w:val="left"/>
        <w:rPr>
          <w:rFonts w:asciiTheme="minorEastAsia" w:eastAsiaTheme="minorEastAsia" w:hAnsiTheme="minorEastAsia"/>
          <w:b/>
          <w:color w:val="000000"/>
          <w:kern w:val="0"/>
          <w:sz w:val="28"/>
          <w:szCs w:val="28"/>
        </w:rPr>
      </w:pPr>
      <w:r w:rsidRPr="003B2B7C">
        <w:rPr>
          <w:rFonts w:asciiTheme="minorEastAsia" w:eastAsiaTheme="minorEastAsia" w:hAnsiTheme="minorEastAsia" w:cs="宋体" w:hint="eastAsia"/>
          <w:b/>
          <w:color w:val="000000"/>
          <w:kern w:val="0"/>
          <w:sz w:val="28"/>
          <w:szCs w:val="28"/>
        </w:rPr>
        <w:lastRenderedPageBreak/>
        <w:t>附件4</w:t>
      </w:r>
      <w:r w:rsidR="007968C1">
        <w:rPr>
          <w:rFonts w:asciiTheme="minorEastAsia" w:eastAsiaTheme="minorEastAsia" w:hAnsiTheme="minorEastAsia" w:cs="宋体" w:hint="eastAsia"/>
          <w:b/>
          <w:color w:val="000000"/>
          <w:kern w:val="0"/>
          <w:sz w:val="28"/>
          <w:szCs w:val="28"/>
        </w:rPr>
        <w:t>：</w:t>
      </w:r>
    </w:p>
    <w:p w:rsidR="00691E89" w:rsidRPr="003B2B7C" w:rsidRDefault="00691E89" w:rsidP="00691E89">
      <w:pPr>
        <w:widowControl/>
        <w:spacing w:before="100" w:beforeAutospacing="1" w:after="100" w:afterAutospacing="1"/>
        <w:jc w:val="center"/>
        <w:rPr>
          <w:rFonts w:asciiTheme="minorEastAsia" w:eastAsiaTheme="minorEastAsia" w:hAnsiTheme="minorEastAsia"/>
          <w:color w:val="000000"/>
          <w:kern w:val="0"/>
          <w:sz w:val="28"/>
          <w:szCs w:val="28"/>
        </w:rPr>
      </w:pPr>
      <w:r w:rsidRPr="003B2B7C">
        <w:rPr>
          <w:rFonts w:asciiTheme="minorEastAsia" w:eastAsiaTheme="minorEastAsia" w:hAnsiTheme="minorEastAsia" w:cs="宋体" w:hint="eastAsia"/>
          <w:b/>
          <w:bCs/>
          <w:color w:val="000000"/>
          <w:kern w:val="0"/>
          <w:sz w:val="28"/>
          <w:szCs w:val="28"/>
        </w:rPr>
        <w:t>单位负责人授权书（若有）</w:t>
      </w:r>
    </w:p>
    <w:p w:rsidR="00691E89" w:rsidRPr="003B2B7C" w:rsidRDefault="00691E89" w:rsidP="00691E89">
      <w:pPr>
        <w:widowControl/>
        <w:jc w:val="left"/>
        <w:rPr>
          <w:rFonts w:asciiTheme="minorEastAsia" w:eastAsiaTheme="minorEastAsia" w:hAnsiTheme="minorEastAsia"/>
          <w:color w:val="000000"/>
          <w:kern w:val="0"/>
          <w:sz w:val="28"/>
          <w:szCs w:val="28"/>
        </w:rPr>
      </w:pPr>
      <w:r w:rsidRPr="003B2B7C">
        <w:rPr>
          <w:rFonts w:asciiTheme="minorEastAsia" w:eastAsiaTheme="minorEastAsia" w:hAnsiTheme="minorEastAsia" w:cs="宋体" w:hint="eastAsia"/>
          <w:color w:val="000000"/>
          <w:kern w:val="0"/>
          <w:sz w:val="28"/>
          <w:szCs w:val="28"/>
        </w:rPr>
        <w:t>致：</w:t>
      </w:r>
      <w:r w:rsidRPr="003B2B7C">
        <w:rPr>
          <w:rFonts w:asciiTheme="minorEastAsia" w:eastAsiaTheme="minorEastAsia" w:hAnsiTheme="minorEastAsia" w:hint="eastAsia"/>
          <w:color w:val="000000"/>
          <w:kern w:val="0"/>
          <w:sz w:val="28"/>
          <w:szCs w:val="28"/>
          <w:u w:val="single"/>
        </w:rPr>
        <w:t xml:space="preserve">  </w:t>
      </w:r>
      <w:r w:rsidRPr="003B2B7C">
        <w:rPr>
          <w:rFonts w:asciiTheme="minorEastAsia" w:eastAsiaTheme="minorEastAsia" w:hAnsiTheme="minorEastAsia" w:cs="宋体" w:hint="eastAsia"/>
          <w:color w:val="000000"/>
          <w:kern w:val="0"/>
          <w:sz w:val="28"/>
          <w:szCs w:val="28"/>
          <w:u w:val="single"/>
        </w:rPr>
        <w:t>福建省特种设备检验研究院龙岩分院</w:t>
      </w:r>
    </w:p>
    <w:p w:rsidR="00691E89" w:rsidRPr="003B2B7C" w:rsidRDefault="00691E89" w:rsidP="00691E89">
      <w:pPr>
        <w:widowControl/>
        <w:ind w:firstLine="420"/>
        <w:jc w:val="left"/>
        <w:rPr>
          <w:rFonts w:asciiTheme="minorEastAsia" w:eastAsiaTheme="minorEastAsia" w:hAnsiTheme="minorEastAsia"/>
          <w:color w:val="000000"/>
          <w:kern w:val="0"/>
          <w:sz w:val="28"/>
          <w:szCs w:val="28"/>
        </w:rPr>
      </w:pPr>
      <w:r w:rsidRPr="003B2B7C">
        <w:rPr>
          <w:rFonts w:asciiTheme="minorEastAsia" w:eastAsiaTheme="minorEastAsia" w:hAnsiTheme="minorEastAsia" w:cs="宋体" w:hint="eastAsia"/>
          <w:color w:val="000000"/>
          <w:kern w:val="0"/>
          <w:sz w:val="28"/>
          <w:szCs w:val="28"/>
        </w:rPr>
        <w:t>我方的单位负责人</w:t>
      </w:r>
      <w:r w:rsidRPr="003B2B7C">
        <w:rPr>
          <w:rFonts w:asciiTheme="minorEastAsia" w:eastAsiaTheme="minorEastAsia" w:hAnsiTheme="minorEastAsia" w:cs="宋体" w:hint="eastAsia"/>
          <w:color w:val="000000"/>
          <w:kern w:val="0"/>
          <w:sz w:val="28"/>
          <w:szCs w:val="28"/>
          <w:u w:val="single"/>
        </w:rPr>
        <w:t>（填写“单位负责人全名”）</w:t>
      </w:r>
      <w:r w:rsidRPr="003B2B7C">
        <w:rPr>
          <w:rFonts w:asciiTheme="minorEastAsia" w:eastAsiaTheme="minorEastAsia" w:hAnsiTheme="minorEastAsia" w:cs="宋体" w:hint="eastAsia"/>
          <w:color w:val="000000"/>
          <w:kern w:val="0"/>
          <w:sz w:val="28"/>
          <w:szCs w:val="28"/>
        </w:rPr>
        <w:t>授权</w:t>
      </w:r>
      <w:r w:rsidRPr="003B2B7C">
        <w:rPr>
          <w:rFonts w:asciiTheme="minorEastAsia" w:eastAsiaTheme="minorEastAsia" w:hAnsiTheme="minorEastAsia" w:cs="宋体" w:hint="eastAsia"/>
          <w:color w:val="000000"/>
          <w:kern w:val="0"/>
          <w:sz w:val="28"/>
          <w:szCs w:val="28"/>
          <w:u w:val="single"/>
        </w:rPr>
        <w:t>（填写“投标人代表全名”）</w:t>
      </w:r>
      <w:r w:rsidRPr="003B2B7C">
        <w:rPr>
          <w:rFonts w:asciiTheme="minorEastAsia" w:eastAsiaTheme="minorEastAsia" w:hAnsiTheme="minorEastAsia" w:cs="宋体" w:hint="eastAsia"/>
          <w:color w:val="000000"/>
          <w:kern w:val="0"/>
          <w:sz w:val="28"/>
          <w:szCs w:val="28"/>
        </w:rPr>
        <w:t>为投标人代表，代表我方参加</w:t>
      </w:r>
      <w:r w:rsidRPr="003B2B7C">
        <w:rPr>
          <w:rFonts w:asciiTheme="minorEastAsia" w:eastAsiaTheme="minorEastAsia" w:hAnsiTheme="minorEastAsia" w:cs="宋体" w:hint="eastAsia"/>
          <w:color w:val="000000"/>
          <w:kern w:val="0"/>
          <w:sz w:val="28"/>
          <w:szCs w:val="28"/>
          <w:u w:val="single"/>
        </w:rPr>
        <w:t>（填写“项目名称”）</w:t>
      </w:r>
      <w:r w:rsidRPr="003B2B7C">
        <w:rPr>
          <w:rFonts w:asciiTheme="minorEastAsia" w:eastAsiaTheme="minorEastAsia" w:hAnsiTheme="minorEastAsia" w:cs="宋体" w:hint="eastAsia"/>
          <w:color w:val="000000"/>
          <w:kern w:val="0"/>
          <w:sz w:val="28"/>
          <w:szCs w:val="28"/>
        </w:rPr>
        <w:t>项目的投标，全权代表我方处理投标过程的一切事宜，包括但不限于：投标、参加开标、谈判、澄清、签约等。投标人代表在投标过程中所签署的一切文件和处理与之有关的一切事务，我方均予以认可并对此承担责任。</w:t>
      </w:r>
    </w:p>
    <w:p w:rsidR="00691E89" w:rsidRPr="003B2B7C" w:rsidRDefault="00691E89" w:rsidP="003B2B7C">
      <w:pPr>
        <w:widowControl/>
        <w:ind w:firstLineChars="181" w:firstLine="507"/>
        <w:jc w:val="left"/>
        <w:rPr>
          <w:rFonts w:asciiTheme="minorEastAsia" w:eastAsiaTheme="minorEastAsia" w:hAnsiTheme="minorEastAsia"/>
          <w:color w:val="000000"/>
          <w:kern w:val="0"/>
          <w:sz w:val="28"/>
          <w:szCs w:val="28"/>
        </w:rPr>
      </w:pPr>
      <w:r w:rsidRPr="003B2B7C">
        <w:rPr>
          <w:rFonts w:asciiTheme="minorEastAsia" w:eastAsiaTheme="minorEastAsia" w:hAnsiTheme="minorEastAsia" w:cs="宋体" w:hint="eastAsia"/>
          <w:color w:val="000000"/>
          <w:kern w:val="0"/>
          <w:sz w:val="28"/>
          <w:szCs w:val="28"/>
        </w:rPr>
        <w:t>投标人代表无转委权。特此授权。</w:t>
      </w:r>
    </w:p>
    <w:p w:rsidR="00691E89" w:rsidRPr="003B2B7C" w:rsidRDefault="00691E89" w:rsidP="00691E89">
      <w:pPr>
        <w:widowControl/>
        <w:jc w:val="center"/>
        <w:rPr>
          <w:rFonts w:asciiTheme="minorEastAsia" w:eastAsiaTheme="minorEastAsia" w:hAnsiTheme="minorEastAsia"/>
          <w:color w:val="000000"/>
          <w:kern w:val="0"/>
          <w:sz w:val="28"/>
          <w:szCs w:val="28"/>
        </w:rPr>
      </w:pPr>
      <w:r w:rsidRPr="003B2B7C">
        <w:rPr>
          <w:rFonts w:asciiTheme="minorEastAsia" w:eastAsiaTheme="minorEastAsia" w:hAnsiTheme="minorEastAsia" w:cs="宋体" w:hint="eastAsia"/>
          <w:color w:val="000000"/>
          <w:kern w:val="0"/>
          <w:sz w:val="28"/>
          <w:szCs w:val="28"/>
        </w:rPr>
        <w:t>（以下无正文）</w:t>
      </w:r>
    </w:p>
    <w:p w:rsidR="00691E89" w:rsidRPr="003B2B7C" w:rsidRDefault="00691E89" w:rsidP="00691E89">
      <w:pPr>
        <w:widowControl/>
        <w:jc w:val="left"/>
        <w:rPr>
          <w:rFonts w:asciiTheme="minorEastAsia" w:eastAsiaTheme="minorEastAsia" w:hAnsiTheme="minorEastAsia" w:cs="宋体"/>
          <w:color w:val="000000"/>
          <w:kern w:val="0"/>
          <w:sz w:val="28"/>
          <w:szCs w:val="28"/>
        </w:rPr>
      </w:pPr>
    </w:p>
    <w:p w:rsidR="00691E89" w:rsidRPr="003B2B7C" w:rsidRDefault="00691E89" w:rsidP="00691E89">
      <w:pPr>
        <w:widowControl/>
        <w:jc w:val="left"/>
        <w:rPr>
          <w:rFonts w:asciiTheme="minorEastAsia" w:eastAsiaTheme="minorEastAsia" w:hAnsiTheme="minorEastAsia"/>
          <w:color w:val="000000"/>
          <w:kern w:val="0"/>
          <w:sz w:val="28"/>
          <w:szCs w:val="28"/>
        </w:rPr>
      </w:pPr>
      <w:r w:rsidRPr="003B2B7C">
        <w:rPr>
          <w:rFonts w:asciiTheme="minorEastAsia" w:eastAsiaTheme="minorEastAsia" w:hAnsiTheme="minorEastAsia" w:cs="宋体" w:hint="eastAsia"/>
          <w:color w:val="000000"/>
          <w:kern w:val="0"/>
          <w:sz w:val="28"/>
          <w:szCs w:val="28"/>
        </w:rPr>
        <w:t>授权方</w:t>
      </w:r>
    </w:p>
    <w:p w:rsidR="00691E89" w:rsidRPr="003B2B7C" w:rsidRDefault="00691E89" w:rsidP="00691E89">
      <w:pPr>
        <w:widowControl/>
        <w:jc w:val="left"/>
        <w:rPr>
          <w:rFonts w:asciiTheme="minorEastAsia" w:eastAsiaTheme="minorEastAsia" w:hAnsiTheme="minorEastAsia"/>
          <w:color w:val="000000"/>
          <w:kern w:val="0"/>
          <w:sz w:val="28"/>
          <w:szCs w:val="28"/>
        </w:rPr>
      </w:pPr>
      <w:r w:rsidRPr="003B2B7C">
        <w:rPr>
          <w:rFonts w:asciiTheme="minorEastAsia" w:eastAsiaTheme="minorEastAsia" w:hAnsiTheme="minorEastAsia" w:cs="宋体" w:hint="eastAsia"/>
          <w:color w:val="000000"/>
          <w:kern w:val="0"/>
          <w:sz w:val="28"/>
          <w:szCs w:val="28"/>
        </w:rPr>
        <w:t>投标</w:t>
      </w:r>
      <w:r w:rsidR="003B2B7C">
        <w:rPr>
          <w:rFonts w:asciiTheme="minorEastAsia" w:eastAsiaTheme="minorEastAsia" w:hAnsiTheme="minorEastAsia" w:cs="宋体" w:hint="eastAsia"/>
          <w:color w:val="000000"/>
          <w:kern w:val="0"/>
          <w:sz w:val="28"/>
          <w:szCs w:val="28"/>
        </w:rPr>
        <w:t>单位</w:t>
      </w:r>
      <w:r w:rsidRPr="003B2B7C">
        <w:rPr>
          <w:rFonts w:asciiTheme="minorEastAsia" w:eastAsiaTheme="minorEastAsia" w:hAnsiTheme="minorEastAsia" w:cs="宋体" w:hint="eastAsia"/>
          <w:color w:val="000000"/>
          <w:kern w:val="0"/>
          <w:sz w:val="28"/>
          <w:szCs w:val="28"/>
        </w:rPr>
        <w:t>：</w:t>
      </w:r>
      <w:r w:rsidRPr="003B2B7C">
        <w:rPr>
          <w:rFonts w:asciiTheme="minorEastAsia" w:eastAsiaTheme="minorEastAsia" w:hAnsiTheme="minorEastAsia" w:cs="宋体" w:hint="eastAsia"/>
          <w:color w:val="000000"/>
          <w:kern w:val="0"/>
          <w:sz w:val="28"/>
          <w:szCs w:val="28"/>
          <w:u w:val="single"/>
        </w:rPr>
        <w:t>（全称并加盖单位公章）</w:t>
      </w:r>
    </w:p>
    <w:p w:rsidR="00691E89" w:rsidRPr="003B2B7C" w:rsidRDefault="00691E89" w:rsidP="00691E89">
      <w:pPr>
        <w:widowControl/>
        <w:jc w:val="left"/>
        <w:rPr>
          <w:rFonts w:asciiTheme="minorEastAsia" w:eastAsiaTheme="minorEastAsia" w:hAnsiTheme="minorEastAsia"/>
          <w:color w:val="000000"/>
          <w:kern w:val="0"/>
          <w:sz w:val="28"/>
          <w:szCs w:val="28"/>
        </w:rPr>
      </w:pPr>
      <w:r w:rsidRPr="003B2B7C">
        <w:rPr>
          <w:rFonts w:asciiTheme="minorEastAsia" w:eastAsiaTheme="minorEastAsia" w:hAnsiTheme="minorEastAsia" w:cs="宋体" w:hint="eastAsia"/>
          <w:color w:val="000000"/>
          <w:kern w:val="0"/>
          <w:sz w:val="28"/>
          <w:szCs w:val="28"/>
        </w:rPr>
        <w:t>单位负责人签字或盖章：</w:t>
      </w:r>
      <w:r w:rsidRPr="003B2B7C">
        <w:rPr>
          <w:rFonts w:asciiTheme="minorEastAsia" w:eastAsiaTheme="minorEastAsia" w:hAnsiTheme="minorEastAsia" w:hint="eastAsia"/>
          <w:color w:val="000000"/>
          <w:kern w:val="0"/>
          <w:sz w:val="28"/>
          <w:szCs w:val="28"/>
          <w:u w:val="single"/>
        </w:rPr>
        <w:t xml:space="preserve">                 </w:t>
      </w:r>
    </w:p>
    <w:p w:rsidR="00691E89" w:rsidRPr="003B2B7C" w:rsidRDefault="00691E89" w:rsidP="00691E89">
      <w:pPr>
        <w:widowControl/>
        <w:jc w:val="left"/>
        <w:rPr>
          <w:rFonts w:asciiTheme="minorEastAsia" w:eastAsiaTheme="minorEastAsia" w:hAnsiTheme="minorEastAsia" w:cs="宋体"/>
          <w:color w:val="000000"/>
          <w:kern w:val="0"/>
          <w:sz w:val="28"/>
          <w:szCs w:val="28"/>
        </w:rPr>
      </w:pPr>
    </w:p>
    <w:p w:rsidR="00691E89" w:rsidRPr="003B2B7C" w:rsidRDefault="00691E89" w:rsidP="00691E89">
      <w:pPr>
        <w:widowControl/>
        <w:jc w:val="left"/>
        <w:rPr>
          <w:rFonts w:asciiTheme="minorEastAsia" w:eastAsiaTheme="minorEastAsia" w:hAnsiTheme="minorEastAsia"/>
          <w:color w:val="000000"/>
          <w:kern w:val="0"/>
          <w:sz w:val="28"/>
          <w:szCs w:val="28"/>
        </w:rPr>
      </w:pPr>
      <w:r w:rsidRPr="003B2B7C">
        <w:rPr>
          <w:rFonts w:asciiTheme="minorEastAsia" w:eastAsiaTheme="minorEastAsia" w:hAnsiTheme="minorEastAsia" w:cs="宋体" w:hint="eastAsia"/>
          <w:color w:val="000000"/>
          <w:kern w:val="0"/>
          <w:sz w:val="28"/>
          <w:szCs w:val="28"/>
        </w:rPr>
        <w:t>接受授权方</w:t>
      </w:r>
    </w:p>
    <w:p w:rsidR="00691E89" w:rsidRPr="003B2B7C" w:rsidRDefault="00691E89" w:rsidP="00691E89">
      <w:pPr>
        <w:widowControl/>
        <w:jc w:val="left"/>
        <w:rPr>
          <w:rFonts w:asciiTheme="minorEastAsia" w:eastAsiaTheme="minorEastAsia" w:hAnsiTheme="minorEastAsia"/>
          <w:color w:val="000000"/>
          <w:kern w:val="0"/>
          <w:sz w:val="28"/>
          <w:szCs w:val="28"/>
        </w:rPr>
      </w:pPr>
      <w:r w:rsidRPr="003B2B7C">
        <w:rPr>
          <w:rFonts w:asciiTheme="minorEastAsia" w:eastAsiaTheme="minorEastAsia" w:hAnsiTheme="minorEastAsia" w:cs="宋体" w:hint="eastAsia"/>
          <w:color w:val="000000"/>
          <w:kern w:val="0"/>
          <w:sz w:val="28"/>
          <w:szCs w:val="28"/>
        </w:rPr>
        <w:t>投标人代表签字：</w:t>
      </w:r>
      <w:r w:rsidRPr="003B2B7C">
        <w:rPr>
          <w:rFonts w:asciiTheme="minorEastAsia" w:eastAsiaTheme="minorEastAsia" w:hAnsiTheme="minorEastAsia" w:hint="eastAsia"/>
          <w:color w:val="000000"/>
          <w:kern w:val="0"/>
          <w:sz w:val="28"/>
          <w:szCs w:val="28"/>
          <w:u w:val="single"/>
        </w:rPr>
        <w:t xml:space="preserve">                   </w:t>
      </w:r>
    </w:p>
    <w:p w:rsidR="00691E89" w:rsidRPr="003B2B7C" w:rsidRDefault="00691E89" w:rsidP="00691E89">
      <w:pPr>
        <w:widowControl/>
        <w:jc w:val="left"/>
        <w:rPr>
          <w:rFonts w:asciiTheme="minorEastAsia" w:eastAsiaTheme="minorEastAsia" w:hAnsiTheme="minorEastAsia"/>
          <w:color w:val="000000"/>
          <w:kern w:val="0"/>
          <w:sz w:val="28"/>
          <w:szCs w:val="28"/>
        </w:rPr>
      </w:pPr>
    </w:p>
    <w:p w:rsidR="00691E89" w:rsidRPr="003B2B7C" w:rsidRDefault="00691E89" w:rsidP="003B2B7C">
      <w:pPr>
        <w:widowControl/>
        <w:ind w:right="640" w:firstLineChars="1050" w:firstLine="2940"/>
        <w:rPr>
          <w:rFonts w:asciiTheme="minorEastAsia" w:eastAsiaTheme="minorEastAsia" w:hAnsiTheme="minorEastAsia" w:cs="宋体"/>
          <w:color w:val="000000"/>
          <w:kern w:val="0"/>
          <w:sz w:val="28"/>
          <w:szCs w:val="28"/>
        </w:rPr>
      </w:pPr>
      <w:r w:rsidRPr="003B2B7C">
        <w:rPr>
          <w:rFonts w:asciiTheme="minorEastAsia" w:eastAsiaTheme="minorEastAsia" w:hAnsiTheme="minorEastAsia" w:cs="宋体" w:hint="eastAsia"/>
          <w:color w:val="000000"/>
          <w:kern w:val="0"/>
          <w:sz w:val="28"/>
          <w:szCs w:val="28"/>
        </w:rPr>
        <w:t>签署日期：</w:t>
      </w:r>
      <w:r w:rsidRPr="003B2B7C">
        <w:rPr>
          <w:rFonts w:asciiTheme="minorEastAsia" w:eastAsiaTheme="minorEastAsia" w:hAnsiTheme="minorEastAsia" w:hint="eastAsia"/>
          <w:color w:val="000000"/>
          <w:kern w:val="0"/>
          <w:sz w:val="28"/>
          <w:szCs w:val="28"/>
        </w:rPr>
        <w:t xml:space="preserve">     </w:t>
      </w:r>
      <w:r w:rsidRPr="003B2B7C">
        <w:rPr>
          <w:rFonts w:asciiTheme="minorEastAsia" w:eastAsiaTheme="minorEastAsia" w:hAnsiTheme="minorEastAsia" w:cs="宋体" w:hint="eastAsia"/>
          <w:color w:val="000000"/>
          <w:kern w:val="0"/>
          <w:sz w:val="28"/>
          <w:szCs w:val="28"/>
        </w:rPr>
        <w:t>年</w:t>
      </w:r>
      <w:r w:rsidRPr="003B2B7C">
        <w:rPr>
          <w:rFonts w:asciiTheme="minorEastAsia" w:eastAsiaTheme="minorEastAsia" w:hAnsiTheme="minorEastAsia" w:hint="eastAsia"/>
          <w:color w:val="000000"/>
          <w:kern w:val="0"/>
          <w:sz w:val="28"/>
          <w:szCs w:val="28"/>
        </w:rPr>
        <w:t xml:space="preserve">   </w:t>
      </w:r>
      <w:r w:rsidRPr="003B2B7C">
        <w:rPr>
          <w:rFonts w:asciiTheme="minorEastAsia" w:eastAsiaTheme="minorEastAsia" w:hAnsiTheme="minorEastAsia" w:cs="宋体" w:hint="eastAsia"/>
          <w:color w:val="000000"/>
          <w:kern w:val="0"/>
          <w:sz w:val="28"/>
          <w:szCs w:val="28"/>
        </w:rPr>
        <w:t>月</w:t>
      </w:r>
      <w:r w:rsidRPr="003B2B7C">
        <w:rPr>
          <w:rFonts w:asciiTheme="minorEastAsia" w:eastAsiaTheme="minorEastAsia" w:hAnsiTheme="minorEastAsia" w:hint="eastAsia"/>
          <w:color w:val="000000"/>
          <w:kern w:val="0"/>
          <w:sz w:val="28"/>
          <w:szCs w:val="28"/>
        </w:rPr>
        <w:t xml:space="preserve">   </w:t>
      </w:r>
      <w:r w:rsidRPr="003B2B7C">
        <w:rPr>
          <w:rFonts w:asciiTheme="minorEastAsia" w:eastAsiaTheme="minorEastAsia" w:hAnsiTheme="minorEastAsia" w:cs="宋体" w:hint="eastAsia"/>
          <w:color w:val="000000"/>
          <w:kern w:val="0"/>
          <w:sz w:val="28"/>
          <w:szCs w:val="28"/>
        </w:rPr>
        <w:t>日</w:t>
      </w:r>
    </w:p>
    <w:p w:rsidR="003B2B7C" w:rsidRPr="003B2B7C" w:rsidRDefault="003B2B7C" w:rsidP="003B2B7C">
      <w:pPr>
        <w:pStyle w:val="BodyText1I"/>
        <w:ind w:firstLine="280"/>
        <w:rPr>
          <w:rFonts w:asciiTheme="minorEastAsia" w:eastAsiaTheme="minorEastAsia" w:hAnsiTheme="minorEastAsia"/>
          <w:sz w:val="28"/>
          <w:szCs w:val="28"/>
        </w:rPr>
      </w:pPr>
    </w:p>
    <w:p w:rsidR="003B2B7C" w:rsidRPr="003B2B7C" w:rsidRDefault="003B2B7C" w:rsidP="003B2B7C">
      <w:pPr>
        <w:pStyle w:val="BodyText1I"/>
        <w:ind w:firstLine="280"/>
        <w:rPr>
          <w:rFonts w:asciiTheme="minorEastAsia" w:eastAsiaTheme="minorEastAsia" w:hAnsiTheme="minorEastAsia"/>
          <w:sz w:val="28"/>
          <w:szCs w:val="28"/>
        </w:rPr>
      </w:pPr>
    </w:p>
    <w:p w:rsidR="003B2B7C" w:rsidRPr="003B2B7C" w:rsidRDefault="003B2B7C" w:rsidP="003B2B7C">
      <w:pPr>
        <w:pStyle w:val="BodyText1I"/>
        <w:ind w:firstLine="280"/>
        <w:rPr>
          <w:rFonts w:asciiTheme="minorEastAsia" w:eastAsiaTheme="minorEastAsia" w:hAnsiTheme="minorEastAsia"/>
          <w:sz w:val="28"/>
          <w:szCs w:val="28"/>
        </w:rPr>
      </w:pPr>
    </w:p>
    <w:p w:rsidR="003B2B7C" w:rsidRPr="003B2B7C" w:rsidRDefault="003B2B7C" w:rsidP="003B2B7C">
      <w:pPr>
        <w:pStyle w:val="BodyText1I"/>
        <w:ind w:firstLine="280"/>
        <w:rPr>
          <w:rFonts w:asciiTheme="minorEastAsia" w:eastAsiaTheme="minorEastAsia" w:hAnsiTheme="minorEastAsia"/>
          <w:sz w:val="28"/>
          <w:szCs w:val="28"/>
        </w:rPr>
      </w:pPr>
    </w:p>
    <w:p w:rsidR="003B2B7C" w:rsidRPr="003B2B7C" w:rsidRDefault="003B2B7C" w:rsidP="003B2B7C">
      <w:pPr>
        <w:widowControl/>
        <w:spacing w:before="100" w:beforeAutospacing="1" w:after="100" w:afterAutospacing="1"/>
        <w:jc w:val="left"/>
        <w:rPr>
          <w:rFonts w:asciiTheme="minorEastAsia" w:eastAsiaTheme="minorEastAsia" w:hAnsiTheme="minorEastAsia"/>
          <w:b/>
          <w:color w:val="000000"/>
          <w:kern w:val="0"/>
          <w:sz w:val="28"/>
          <w:szCs w:val="28"/>
        </w:rPr>
      </w:pPr>
      <w:r w:rsidRPr="003B2B7C">
        <w:rPr>
          <w:rFonts w:asciiTheme="minorEastAsia" w:eastAsiaTheme="minorEastAsia" w:hAnsiTheme="minorEastAsia" w:cs="宋体" w:hint="eastAsia"/>
          <w:b/>
          <w:color w:val="000000"/>
          <w:kern w:val="0"/>
          <w:sz w:val="28"/>
          <w:szCs w:val="28"/>
        </w:rPr>
        <w:lastRenderedPageBreak/>
        <w:t>附件5</w:t>
      </w:r>
      <w:r w:rsidR="007968C1">
        <w:rPr>
          <w:rFonts w:asciiTheme="minorEastAsia" w:eastAsiaTheme="minorEastAsia" w:hAnsiTheme="minorEastAsia" w:cs="宋体" w:hint="eastAsia"/>
          <w:b/>
          <w:color w:val="000000"/>
          <w:kern w:val="0"/>
          <w:sz w:val="28"/>
          <w:szCs w:val="28"/>
        </w:rPr>
        <w:t>：</w:t>
      </w:r>
    </w:p>
    <w:p w:rsidR="003B2B7C" w:rsidRPr="003B2B7C" w:rsidRDefault="003B2B7C" w:rsidP="003B2B7C">
      <w:pPr>
        <w:widowControl/>
        <w:spacing w:before="100" w:beforeAutospacing="1" w:after="100" w:afterAutospacing="1"/>
        <w:jc w:val="center"/>
        <w:rPr>
          <w:rFonts w:asciiTheme="minorEastAsia" w:eastAsiaTheme="minorEastAsia" w:hAnsiTheme="minorEastAsia"/>
          <w:b/>
          <w:bCs/>
          <w:color w:val="000000"/>
          <w:kern w:val="0"/>
          <w:sz w:val="28"/>
          <w:szCs w:val="28"/>
        </w:rPr>
      </w:pPr>
      <w:r w:rsidRPr="003B2B7C">
        <w:rPr>
          <w:rFonts w:asciiTheme="minorEastAsia" w:eastAsiaTheme="minorEastAsia" w:hAnsiTheme="minorEastAsia" w:hint="eastAsia"/>
          <w:b/>
          <w:kern w:val="0"/>
          <w:sz w:val="28"/>
          <w:szCs w:val="28"/>
        </w:rPr>
        <w:t>具备履行合同所必需设备和专业技术能力的声明函</w:t>
      </w:r>
    </w:p>
    <w:p w:rsidR="003B2B7C" w:rsidRPr="003B2B7C" w:rsidRDefault="003B2B7C" w:rsidP="003B2B7C">
      <w:pPr>
        <w:pStyle w:val="ab"/>
        <w:rPr>
          <w:rFonts w:asciiTheme="minorEastAsia" w:eastAsiaTheme="minorEastAsia" w:hAnsiTheme="minorEastAsia" w:cs="Times New Roman"/>
          <w:color w:val="000000"/>
          <w:sz w:val="28"/>
          <w:szCs w:val="28"/>
        </w:rPr>
      </w:pPr>
      <w:r w:rsidRPr="003B2B7C">
        <w:rPr>
          <w:rFonts w:asciiTheme="minorEastAsia" w:eastAsiaTheme="minorEastAsia" w:hAnsiTheme="minorEastAsia" w:hint="eastAsia"/>
          <w:color w:val="000000"/>
          <w:sz w:val="28"/>
          <w:szCs w:val="28"/>
        </w:rPr>
        <w:t>致：</w:t>
      </w:r>
      <w:r w:rsidRPr="003B2B7C">
        <w:rPr>
          <w:rFonts w:asciiTheme="minorEastAsia" w:eastAsiaTheme="minorEastAsia" w:hAnsiTheme="minorEastAsia" w:cs="Times New Roman" w:hint="eastAsia"/>
          <w:color w:val="000000"/>
          <w:sz w:val="28"/>
          <w:szCs w:val="28"/>
          <w:u w:val="single"/>
        </w:rPr>
        <w:t xml:space="preserve">   </w:t>
      </w:r>
      <w:r w:rsidRPr="003B2B7C">
        <w:rPr>
          <w:rFonts w:asciiTheme="minorEastAsia" w:eastAsiaTheme="minorEastAsia" w:hAnsiTheme="minorEastAsia" w:hint="eastAsia"/>
          <w:color w:val="000000"/>
          <w:sz w:val="28"/>
          <w:szCs w:val="28"/>
          <w:u w:val="single"/>
        </w:rPr>
        <w:t>福建省特种设备检验研究院龙岩分院</w:t>
      </w:r>
      <w:r w:rsidRPr="003B2B7C">
        <w:rPr>
          <w:rFonts w:asciiTheme="minorEastAsia" w:eastAsiaTheme="minorEastAsia" w:hAnsiTheme="minorEastAsia" w:cs="Times New Roman" w:hint="eastAsia"/>
          <w:color w:val="000000"/>
          <w:sz w:val="28"/>
          <w:szCs w:val="28"/>
          <w:u w:val="single"/>
        </w:rPr>
        <w:t xml:space="preserve">   </w:t>
      </w:r>
    </w:p>
    <w:p w:rsidR="003B2B7C" w:rsidRPr="003B2B7C" w:rsidRDefault="003B2B7C" w:rsidP="003B2B7C">
      <w:pPr>
        <w:pStyle w:val="ab"/>
        <w:ind w:firstLineChars="190" w:firstLine="532"/>
        <w:rPr>
          <w:rFonts w:asciiTheme="minorEastAsia" w:eastAsiaTheme="minorEastAsia" w:hAnsiTheme="minorEastAsia" w:cs="Times New Roman"/>
          <w:color w:val="000000"/>
          <w:sz w:val="28"/>
          <w:szCs w:val="28"/>
        </w:rPr>
      </w:pPr>
      <w:r w:rsidRPr="003B2B7C">
        <w:rPr>
          <w:rFonts w:asciiTheme="minorEastAsia" w:eastAsiaTheme="minorEastAsia" w:hAnsiTheme="minorEastAsia" w:hint="eastAsia"/>
          <w:color w:val="000000"/>
          <w:sz w:val="28"/>
          <w:szCs w:val="28"/>
        </w:rPr>
        <w:t>我方具备履行合同所必需的设备和专业技术能力，否则产生不利后果由我方承担责任。</w:t>
      </w:r>
    </w:p>
    <w:p w:rsidR="003B2B7C" w:rsidRPr="003B2B7C" w:rsidRDefault="003B2B7C" w:rsidP="003B2B7C">
      <w:pPr>
        <w:pStyle w:val="ab"/>
        <w:ind w:firstLine="420"/>
        <w:rPr>
          <w:rFonts w:asciiTheme="minorEastAsia" w:eastAsiaTheme="minorEastAsia" w:hAnsiTheme="minorEastAsia" w:cs="Times New Roman"/>
          <w:color w:val="000000"/>
          <w:sz w:val="28"/>
          <w:szCs w:val="28"/>
        </w:rPr>
      </w:pPr>
      <w:r w:rsidRPr="003B2B7C">
        <w:rPr>
          <w:rFonts w:asciiTheme="minorEastAsia" w:eastAsiaTheme="minorEastAsia" w:hAnsiTheme="minorEastAsia" w:hint="eastAsia"/>
          <w:color w:val="000000"/>
          <w:sz w:val="28"/>
          <w:szCs w:val="28"/>
        </w:rPr>
        <w:t>特此声明。</w:t>
      </w:r>
    </w:p>
    <w:p w:rsidR="003B2B7C" w:rsidRPr="003B2B7C" w:rsidRDefault="003B2B7C" w:rsidP="003B2B7C">
      <w:pPr>
        <w:pStyle w:val="ab"/>
        <w:rPr>
          <w:rFonts w:asciiTheme="minorEastAsia" w:eastAsiaTheme="minorEastAsia" w:hAnsiTheme="minorEastAsia" w:cs="Times New Roman"/>
          <w:color w:val="000000"/>
          <w:sz w:val="28"/>
          <w:szCs w:val="28"/>
        </w:rPr>
      </w:pPr>
    </w:p>
    <w:p w:rsidR="003B2B7C" w:rsidRPr="003B2B7C" w:rsidRDefault="003B2B7C" w:rsidP="003B2B7C">
      <w:pPr>
        <w:pStyle w:val="ab"/>
        <w:ind w:firstLineChars="1050" w:firstLine="2940"/>
        <w:rPr>
          <w:rFonts w:asciiTheme="minorEastAsia" w:eastAsiaTheme="minorEastAsia" w:hAnsiTheme="minorEastAsia" w:cs="Times New Roman"/>
          <w:color w:val="000000"/>
          <w:sz w:val="28"/>
          <w:szCs w:val="28"/>
        </w:rPr>
      </w:pPr>
      <w:r w:rsidRPr="003B2B7C">
        <w:rPr>
          <w:rFonts w:asciiTheme="minorEastAsia" w:eastAsiaTheme="minorEastAsia" w:hAnsiTheme="minorEastAsia" w:hint="eastAsia"/>
          <w:color w:val="000000"/>
          <w:sz w:val="28"/>
          <w:szCs w:val="28"/>
        </w:rPr>
        <w:t>投标单位：（全称并加盖单位公章）</w:t>
      </w:r>
    </w:p>
    <w:p w:rsidR="003B2B7C" w:rsidRPr="003B2B7C" w:rsidRDefault="003B2B7C" w:rsidP="003B2B7C">
      <w:pPr>
        <w:pStyle w:val="ab"/>
        <w:rPr>
          <w:rFonts w:asciiTheme="minorEastAsia" w:eastAsiaTheme="minorEastAsia" w:hAnsiTheme="minorEastAsia" w:cs="Times New Roman"/>
          <w:color w:val="000000"/>
          <w:sz w:val="28"/>
          <w:szCs w:val="28"/>
        </w:rPr>
      </w:pPr>
      <w:r w:rsidRPr="003B2B7C">
        <w:rPr>
          <w:rFonts w:asciiTheme="minorEastAsia" w:eastAsiaTheme="minorEastAsia" w:hAnsiTheme="minorEastAsia" w:hint="eastAsia"/>
          <w:color w:val="000000"/>
          <w:sz w:val="28"/>
          <w:szCs w:val="28"/>
        </w:rPr>
        <w:t xml:space="preserve">                     投标人代表签字：</w:t>
      </w:r>
    </w:p>
    <w:p w:rsidR="003B2B7C" w:rsidRPr="003B2B7C" w:rsidRDefault="003B2B7C" w:rsidP="003B2B7C">
      <w:pPr>
        <w:pStyle w:val="ab"/>
        <w:ind w:firstLine="320"/>
        <w:rPr>
          <w:rFonts w:asciiTheme="minorEastAsia" w:eastAsiaTheme="minorEastAsia" w:hAnsiTheme="minorEastAsia" w:cs="Times New Roman"/>
          <w:color w:val="000000"/>
          <w:sz w:val="28"/>
          <w:szCs w:val="28"/>
        </w:rPr>
      </w:pPr>
      <w:r w:rsidRPr="003B2B7C">
        <w:rPr>
          <w:rFonts w:asciiTheme="minorEastAsia" w:eastAsiaTheme="minorEastAsia" w:hAnsiTheme="minorEastAsia" w:hint="eastAsia"/>
          <w:color w:val="000000"/>
          <w:sz w:val="28"/>
          <w:szCs w:val="28"/>
        </w:rPr>
        <w:t xml:space="preserve">                    日期：</w:t>
      </w:r>
      <w:r w:rsidRPr="003B2B7C">
        <w:rPr>
          <w:rFonts w:asciiTheme="minorEastAsia" w:eastAsiaTheme="minorEastAsia" w:hAnsiTheme="minorEastAsia" w:cs="Times New Roman" w:hint="eastAsia"/>
          <w:color w:val="000000"/>
          <w:sz w:val="28"/>
          <w:szCs w:val="28"/>
        </w:rPr>
        <w:t>    </w:t>
      </w:r>
      <w:r w:rsidRPr="003B2B7C">
        <w:rPr>
          <w:rFonts w:asciiTheme="minorEastAsia" w:eastAsiaTheme="minorEastAsia" w:hAnsiTheme="minorEastAsia" w:hint="eastAsia"/>
          <w:color w:val="000000"/>
          <w:sz w:val="28"/>
          <w:szCs w:val="28"/>
        </w:rPr>
        <w:t>年</w:t>
      </w:r>
      <w:r w:rsidRPr="003B2B7C">
        <w:rPr>
          <w:rFonts w:asciiTheme="minorEastAsia" w:eastAsiaTheme="minorEastAsia" w:hAnsiTheme="minorEastAsia" w:cs="Times New Roman" w:hint="eastAsia"/>
          <w:color w:val="000000"/>
          <w:sz w:val="28"/>
          <w:szCs w:val="28"/>
        </w:rPr>
        <w:t>   </w:t>
      </w:r>
      <w:r w:rsidRPr="003B2B7C">
        <w:rPr>
          <w:rFonts w:asciiTheme="minorEastAsia" w:eastAsiaTheme="minorEastAsia" w:hAnsiTheme="minorEastAsia" w:hint="eastAsia"/>
          <w:color w:val="000000"/>
          <w:sz w:val="28"/>
          <w:szCs w:val="28"/>
        </w:rPr>
        <w:t>月</w:t>
      </w:r>
      <w:r w:rsidRPr="003B2B7C">
        <w:rPr>
          <w:rFonts w:asciiTheme="minorEastAsia" w:eastAsiaTheme="minorEastAsia" w:hAnsiTheme="minorEastAsia" w:cs="Times New Roman" w:hint="eastAsia"/>
          <w:color w:val="000000"/>
          <w:sz w:val="28"/>
          <w:szCs w:val="28"/>
        </w:rPr>
        <w:t>   </w:t>
      </w:r>
      <w:r w:rsidRPr="003B2B7C">
        <w:rPr>
          <w:rFonts w:asciiTheme="minorEastAsia" w:eastAsiaTheme="minorEastAsia" w:hAnsiTheme="minorEastAsia" w:hint="eastAsia"/>
          <w:color w:val="000000"/>
          <w:sz w:val="28"/>
          <w:szCs w:val="28"/>
        </w:rPr>
        <w:t>日</w:t>
      </w:r>
    </w:p>
    <w:p w:rsidR="00096138" w:rsidRPr="003B2B7C" w:rsidRDefault="00096138" w:rsidP="003B2B7C">
      <w:pPr>
        <w:pStyle w:val="ab"/>
        <w:shd w:val="clear" w:color="auto" w:fill="FFFFFF"/>
        <w:spacing w:beforeAutospacing="0" w:after="150" w:afterAutospacing="0" w:line="300" w:lineRule="atLeast"/>
        <w:ind w:firstLineChars="100" w:firstLine="281"/>
        <w:rPr>
          <w:rFonts w:asciiTheme="minorEastAsia" w:eastAsiaTheme="minorEastAsia" w:hAnsiTheme="minorEastAsia"/>
          <w:b/>
          <w:bCs/>
          <w:sz w:val="28"/>
          <w:szCs w:val="28"/>
        </w:rPr>
      </w:pPr>
    </w:p>
    <w:sectPr w:rsidR="00096138" w:rsidRPr="003B2B7C" w:rsidSect="00BC60A1">
      <w:headerReference w:type="default" r:id="rId9"/>
      <w:footerReference w:type="even" r:id="rId10"/>
      <w:footerReference w:type="default" r:id="rId11"/>
      <w:headerReference w:type="first" r:id="rId12"/>
      <w:pgSz w:w="11907" w:h="16840"/>
      <w:pgMar w:top="992" w:right="1298" w:bottom="1049" w:left="1298" w:header="680" w:footer="680"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B4B" w:rsidRDefault="00D64B4B">
      <w:r>
        <w:separator/>
      </w:r>
    </w:p>
  </w:endnote>
  <w:endnote w:type="continuationSeparator" w:id="1">
    <w:p w:rsidR="00D64B4B" w:rsidRDefault="00D64B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2E1" w:rsidRDefault="00B417FC">
    <w:pPr>
      <w:pStyle w:val="a9"/>
      <w:framePr w:wrap="around" w:vAnchor="text" w:hAnchor="margin" w:xAlign="center" w:y="1"/>
      <w:rPr>
        <w:rStyle w:val="ae"/>
      </w:rPr>
    </w:pPr>
    <w:r>
      <w:fldChar w:fldCharType="begin"/>
    </w:r>
    <w:r w:rsidR="001B02E1">
      <w:rPr>
        <w:rStyle w:val="ae"/>
      </w:rPr>
      <w:instrText xml:space="preserve">PAGE  </w:instrText>
    </w:r>
    <w:r>
      <w:fldChar w:fldCharType="separate"/>
    </w:r>
    <w:r w:rsidR="001B02E1">
      <w:rPr>
        <w:rStyle w:val="ae"/>
      </w:rPr>
      <w:t>28</w:t>
    </w:r>
    <w:r>
      <w:fldChar w:fldCharType="end"/>
    </w:r>
  </w:p>
  <w:p w:rsidR="001B02E1" w:rsidRDefault="001B02E1">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2E1" w:rsidRDefault="00B417FC">
    <w:pPr>
      <w:pStyle w:val="a9"/>
      <w:tabs>
        <w:tab w:val="clear" w:pos="8306"/>
        <w:tab w:val="left" w:pos="8715"/>
      </w:tabs>
      <w:ind w:right="360"/>
      <w:rPr>
        <w:vertAlign w:val="superscript"/>
      </w:rPr>
    </w:pPr>
    <w:r w:rsidRPr="00B417FC">
      <w:rPr>
        <w:noProof/>
        <w:sz w:val="21"/>
      </w:rPr>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1B02E1" w:rsidRDefault="00B417FC">
                <w:pPr>
                  <w:pStyle w:val="a9"/>
                </w:pPr>
                <w:fldSimple w:instr=" PAGE  \* MERGEFORMAT ">
                  <w:r w:rsidR="00B9087C">
                    <w:rPr>
                      <w:noProof/>
                    </w:rPr>
                    <w:t>17</w:t>
                  </w:r>
                </w:fldSimple>
              </w:p>
            </w:txbxContent>
          </v:textbox>
          <w10:wrap anchorx="margin"/>
        </v:shape>
      </w:pict>
    </w:r>
    <w:r w:rsidRPr="00B417FC">
      <w:rPr>
        <w:noProof/>
        <w:sz w:val="21"/>
      </w:rPr>
      <w:pict>
        <v:shape id="文本框 2" o:spid="_x0000_s1027"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rsidR="001B02E1" w:rsidRDefault="001B02E1">
                <w:pPr>
                  <w:pStyle w:val="a9"/>
                </w:pPr>
              </w:p>
              <w:p w:rsidR="001B02E1" w:rsidRDefault="001B02E1"/>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B4B" w:rsidRDefault="00D64B4B">
      <w:r>
        <w:separator/>
      </w:r>
    </w:p>
  </w:footnote>
  <w:footnote w:type="continuationSeparator" w:id="1">
    <w:p w:rsidR="00D64B4B" w:rsidRDefault="00D64B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2E1" w:rsidRDefault="001B02E1">
    <w:pPr>
      <w:pStyle w:val="aa"/>
      <w:pBdr>
        <w:bottom w:val="none" w:sz="0" w:space="0" w:color="auto"/>
      </w:pBdr>
      <w:jc w:val="both"/>
      <w:rPr>
        <w:rFonts w:ascii="宋体" w:hAnsi="宋体"/>
        <w:b/>
        <w:sz w:val="21"/>
        <w:szCs w:val="21"/>
        <w:shd w:val="pct10" w:color="auto" w:fill="FFFFFF"/>
      </w:rPr>
    </w:pPr>
  </w:p>
  <w:p w:rsidR="001B02E1" w:rsidRDefault="001B02E1">
    <w:pPr>
      <w:pStyle w:val="aa"/>
      <w:pBdr>
        <w:bottom w:val="none" w:sz="0" w:space="0" w:color="auto"/>
      </w:pBdr>
      <w:jc w:val="both"/>
      <w:rPr>
        <w:rFonts w:ascii="宋体" w:hAnsi="宋体"/>
        <w:b/>
        <w:sz w:val="21"/>
        <w:szCs w:val="21"/>
        <w:shd w:val="pct10" w:color="auto" w:fill="FFFFFF"/>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2E1" w:rsidRDefault="001B02E1">
    <w:pPr>
      <w:pStyle w:val="aa"/>
      <w:rPr>
        <w:rFonts w:ascii="宋体" w:hAnsi="宋体"/>
        <w:b/>
        <w:sz w:val="21"/>
        <w:szCs w:val="21"/>
        <w:shd w:val="pct10" w:color="auto" w:fill="FFFFFF"/>
      </w:rPr>
    </w:pPr>
  </w:p>
  <w:p w:rsidR="001B02E1" w:rsidRDefault="001B02E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left" w:pos="840"/>
        </w:tabs>
        <w:ind w:left="840" w:hanging="480"/>
      </w:pPr>
      <w:rPr>
        <w:rFonts w:hint="eastAsia"/>
      </w:rPr>
    </w:lvl>
    <w:lvl w:ilvl="1">
      <w:start w:val="1"/>
      <w:numFmt w:val="lowerLetter"/>
      <w:lvlText w:val="%2)"/>
      <w:lvlJc w:val="left"/>
      <w:pPr>
        <w:tabs>
          <w:tab w:val="left" w:pos="1200"/>
        </w:tabs>
        <w:ind w:left="1200" w:hanging="420"/>
      </w:pPr>
    </w:lvl>
    <w:lvl w:ilvl="2">
      <w:start w:val="1"/>
      <w:numFmt w:val="lowerRoman"/>
      <w:pStyle w:val="3"/>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
    <w:nsid w:val="18855A33"/>
    <w:multiLevelType w:val="hybridMultilevel"/>
    <w:tmpl w:val="89A05A78"/>
    <w:lvl w:ilvl="0" w:tplc="49E6884E">
      <w:start w:val="1"/>
      <w:numFmt w:val="japaneseCounting"/>
      <w:lvlText w:val="%1、"/>
      <w:lvlJc w:val="left"/>
      <w:pPr>
        <w:ind w:left="1271" w:hanging="720"/>
      </w:pPr>
      <w:rPr>
        <w:rFonts w:hint="default"/>
        <w:b/>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2">
    <w:nsid w:val="57F65007"/>
    <w:multiLevelType w:val="hybridMultilevel"/>
    <w:tmpl w:val="D4C62644"/>
    <w:lvl w:ilvl="0" w:tplc="BD82C3D2">
      <w:start w:val="1"/>
      <w:numFmt w:val="japaneseCounting"/>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3">
    <w:nsid w:val="59830DBC"/>
    <w:multiLevelType w:val="singleLevel"/>
    <w:tmpl w:val="59830DBC"/>
    <w:lvl w:ilvl="0">
      <w:start w:val="1"/>
      <w:numFmt w:val="lowerLetter"/>
      <w:lvlText w:val="%1."/>
      <w:lvlJc w:val="left"/>
      <w:pPr>
        <w:tabs>
          <w:tab w:val="left" w:pos="425"/>
        </w:tabs>
        <w:ind w:left="425" w:hanging="425"/>
      </w:pPr>
      <w:rPr>
        <w:rFonts w:cs="Times New Roman" w:hint="default"/>
      </w:rPr>
    </w:lvl>
  </w:abstractNum>
  <w:abstractNum w:abstractNumId="4">
    <w:nsid w:val="6C3339F6"/>
    <w:multiLevelType w:val="multilevel"/>
    <w:tmpl w:val="6C3339F6"/>
    <w:lvl w:ilvl="0">
      <w:start w:val="1"/>
      <w:numFmt w:val="lowerLetter"/>
      <w:lvlText w:val="%1."/>
      <w:lvlJc w:val="left"/>
      <w:pPr>
        <w:ind w:left="1260" w:hanging="420"/>
      </w:pPr>
      <w:rPr>
        <w:rFonts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
    <w:nsid w:val="7F3A2A34"/>
    <w:multiLevelType w:val="hybridMultilevel"/>
    <w:tmpl w:val="B3A44312"/>
    <w:lvl w:ilvl="0" w:tplc="F0AA5DF4">
      <w:start w:val="1"/>
      <w:numFmt w:val="decimal"/>
      <w:lvlText w:val="%1、"/>
      <w:lvlJc w:val="left"/>
      <w:pPr>
        <w:ind w:left="1070" w:hanging="36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num w:numId="1">
    <w:abstractNumId w:val="0"/>
  </w:num>
  <w:num w:numId="2">
    <w:abstractNumId w:val="4"/>
  </w:num>
  <w:num w:numId="3">
    <w:abstractNumId w:val="3"/>
    <w:lvlOverride w:ilvl="0">
      <w:startOverride w:val="1"/>
    </w:lvlOverride>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1843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WE0MzM5MzRmOWE5MmQ1Y2Y2OTc3ZTgyOTBkMTg1OTgifQ=="/>
  </w:docVars>
  <w:rsids>
    <w:rsidRoot w:val="222E285E"/>
    <w:rsid w:val="000035A5"/>
    <w:rsid w:val="00011162"/>
    <w:rsid w:val="00046B52"/>
    <w:rsid w:val="00096138"/>
    <w:rsid w:val="000D5852"/>
    <w:rsid w:val="000F33E7"/>
    <w:rsid w:val="00110C2D"/>
    <w:rsid w:val="00110D2C"/>
    <w:rsid w:val="00133F4C"/>
    <w:rsid w:val="0018519A"/>
    <w:rsid w:val="001B02E1"/>
    <w:rsid w:val="001C3E04"/>
    <w:rsid w:val="001E4774"/>
    <w:rsid w:val="00227CA0"/>
    <w:rsid w:val="002E310B"/>
    <w:rsid w:val="002E5C37"/>
    <w:rsid w:val="002F644B"/>
    <w:rsid w:val="00302304"/>
    <w:rsid w:val="003276D4"/>
    <w:rsid w:val="0035660C"/>
    <w:rsid w:val="003823EC"/>
    <w:rsid w:val="00390F00"/>
    <w:rsid w:val="003A36A4"/>
    <w:rsid w:val="003A62F3"/>
    <w:rsid w:val="003B2B7C"/>
    <w:rsid w:val="003C1CED"/>
    <w:rsid w:val="003F59B7"/>
    <w:rsid w:val="0040228F"/>
    <w:rsid w:val="004E2BDA"/>
    <w:rsid w:val="00535F92"/>
    <w:rsid w:val="00560443"/>
    <w:rsid w:val="005618AC"/>
    <w:rsid w:val="005648EB"/>
    <w:rsid w:val="00565461"/>
    <w:rsid w:val="006169D2"/>
    <w:rsid w:val="00655FBF"/>
    <w:rsid w:val="006743BF"/>
    <w:rsid w:val="00677A45"/>
    <w:rsid w:val="00691E89"/>
    <w:rsid w:val="006B3950"/>
    <w:rsid w:val="007150F9"/>
    <w:rsid w:val="00731A3B"/>
    <w:rsid w:val="007349EA"/>
    <w:rsid w:val="00783020"/>
    <w:rsid w:val="007968C1"/>
    <w:rsid w:val="007C5809"/>
    <w:rsid w:val="007C619C"/>
    <w:rsid w:val="007E5B09"/>
    <w:rsid w:val="008555DA"/>
    <w:rsid w:val="009225BF"/>
    <w:rsid w:val="00924D47"/>
    <w:rsid w:val="00933BD2"/>
    <w:rsid w:val="00965B2B"/>
    <w:rsid w:val="00966367"/>
    <w:rsid w:val="00994163"/>
    <w:rsid w:val="009A08F5"/>
    <w:rsid w:val="009D2E84"/>
    <w:rsid w:val="00A43B18"/>
    <w:rsid w:val="00AE4010"/>
    <w:rsid w:val="00AE62A7"/>
    <w:rsid w:val="00B2316C"/>
    <w:rsid w:val="00B417FC"/>
    <w:rsid w:val="00B47753"/>
    <w:rsid w:val="00B86A5D"/>
    <w:rsid w:val="00B9087C"/>
    <w:rsid w:val="00B9371D"/>
    <w:rsid w:val="00BC0526"/>
    <w:rsid w:val="00BC60A1"/>
    <w:rsid w:val="00C0215E"/>
    <w:rsid w:val="00C116A4"/>
    <w:rsid w:val="00C7307B"/>
    <w:rsid w:val="00C97073"/>
    <w:rsid w:val="00CC41F8"/>
    <w:rsid w:val="00D64B4B"/>
    <w:rsid w:val="00D77771"/>
    <w:rsid w:val="00D8239D"/>
    <w:rsid w:val="00DF2C1C"/>
    <w:rsid w:val="00E0704B"/>
    <w:rsid w:val="00E12210"/>
    <w:rsid w:val="00E22920"/>
    <w:rsid w:val="00E2666E"/>
    <w:rsid w:val="00E47BC7"/>
    <w:rsid w:val="00EA5113"/>
    <w:rsid w:val="00EB0246"/>
    <w:rsid w:val="00ED4D98"/>
    <w:rsid w:val="00EE16F2"/>
    <w:rsid w:val="00F11FC2"/>
    <w:rsid w:val="00FC3D7A"/>
    <w:rsid w:val="020169E1"/>
    <w:rsid w:val="021652E9"/>
    <w:rsid w:val="0220153D"/>
    <w:rsid w:val="033C4792"/>
    <w:rsid w:val="0359766A"/>
    <w:rsid w:val="04355711"/>
    <w:rsid w:val="045333A0"/>
    <w:rsid w:val="055C17A8"/>
    <w:rsid w:val="05670B23"/>
    <w:rsid w:val="05A4394F"/>
    <w:rsid w:val="0617289E"/>
    <w:rsid w:val="06C6212E"/>
    <w:rsid w:val="06EC4F09"/>
    <w:rsid w:val="0708688A"/>
    <w:rsid w:val="07A57329"/>
    <w:rsid w:val="07E2373B"/>
    <w:rsid w:val="08CD3AA1"/>
    <w:rsid w:val="08E7715F"/>
    <w:rsid w:val="08ED1DFA"/>
    <w:rsid w:val="091A7A54"/>
    <w:rsid w:val="0928379A"/>
    <w:rsid w:val="09A72681"/>
    <w:rsid w:val="0A767AD4"/>
    <w:rsid w:val="0B240271"/>
    <w:rsid w:val="0B882641"/>
    <w:rsid w:val="0B95711A"/>
    <w:rsid w:val="0BA162F8"/>
    <w:rsid w:val="0C7A1FB4"/>
    <w:rsid w:val="0CA37CC3"/>
    <w:rsid w:val="0CB24AEE"/>
    <w:rsid w:val="0CD0457E"/>
    <w:rsid w:val="0D4B14E6"/>
    <w:rsid w:val="0E6E7DCF"/>
    <w:rsid w:val="0F454CBB"/>
    <w:rsid w:val="0F7C62CE"/>
    <w:rsid w:val="105F2C12"/>
    <w:rsid w:val="11606599"/>
    <w:rsid w:val="11A810BD"/>
    <w:rsid w:val="11AB4AE5"/>
    <w:rsid w:val="11E500BF"/>
    <w:rsid w:val="12A9179C"/>
    <w:rsid w:val="12EB5772"/>
    <w:rsid w:val="130D26B4"/>
    <w:rsid w:val="144D0EE3"/>
    <w:rsid w:val="14535C94"/>
    <w:rsid w:val="147B59D3"/>
    <w:rsid w:val="14FC0CF3"/>
    <w:rsid w:val="160C06DF"/>
    <w:rsid w:val="16CE36AB"/>
    <w:rsid w:val="17865E0C"/>
    <w:rsid w:val="17A761D2"/>
    <w:rsid w:val="17F30AFA"/>
    <w:rsid w:val="1810568A"/>
    <w:rsid w:val="18137F71"/>
    <w:rsid w:val="18D61C54"/>
    <w:rsid w:val="19875E05"/>
    <w:rsid w:val="1A3A7A37"/>
    <w:rsid w:val="1A465F89"/>
    <w:rsid w:val="1A480C1B"/>
    <w:rsid w:val="1B1D146D"/>
    <w:rsid w:val="1BA868D3"/>
    <w:rsid w:val="1BDC6D6A"/>
    <w:rsid w:val="1BF45462"/>
    <w:rsid w:val="1CC65D60"/>
    <w:rsid w:val="1CD15531"/>
    <w:rsid w:val="1CEB397B"/>
    <w:rsid w:val="1D7274E7"/>
    <w:rsid w:val="1E716CF0"/>
    <w:rsid w:val="1E844DDA"/>
    <w:rsid w:val="1EA47E74"/>
    <w:rsid w:val="1F3E5F1D"/>
    <w:rsid w:val="1F7F18F3"/>
    <w:rsid w:val="20305826"/>
    <w:rsid w:val="20EE4474"/>
    <w:rsid w:val="217575A4"/>
    <w:rsid w:val="222D644B"/>
    <w:rsid w:val="222E285E"/>
    <w:rsid w:val="22561186"/>
    <w:rsid w:val="2263526F"/>
    <w:rsid w:val="226A63AB"/>
    <w:rsid w:val="22BE6185"/>
    <w:rsid w:val="23492664"/>
    <w:rsid w:val="2352294F"/>
    <w:rsid w:val="24350712"/>
    <w:rsid w:val="2439730D"/>
    <w:rsid w:val="25027C9E"/>
    <w:rsid w:val="253325AE"/>
    <w:rsid w:val="255B1270"/>
    <w:rsid w:val="25B974B0"/>
    <w:rsid w:val="26145D8E"/>
    <w:rsid w:val="263A6A9F"/>
    <w:rsid w:val="268A6805"/>
    <w:rsid w:val="26F539EC"/>
    <w:rsid w:val="270051B0"/>
    <w:rsid w:val="287D7164"/>
    <w:rsid w:val="2A4535D5"/>
    <w:rsid w:val="2AA75E71"/>
    <w:rsid w:val="2B5A407F"/>
    <w:rsid w:val="2C946A6A"/>
    <w:rsid w:val="2DA01D05"/>
    <w:rsid w:val="2EF93E15"/>
    <w:rsid w:val="30A13F90"/>
    <w:rsid w:val="30CC254C"/>
    <w:rsid w:val="31797861"/>
    <w:rsid w:val="31B67B5C"/>
    <w:rsid w:val="31EF7D35"/>
    <w:rsid w:val="320E62C5"/>
    <w:rsid w:val="332129F3"/>
    <w:rsid w:val="335E3FDD"/>
    <w:rsid w:val="348F2969"/>
    <w:rsid w:val="34A0170C"/>
    <w:rsid w:val="34AC3062"/>
    <w:rsid w:val="34AC7B20"/>
    <w:rsid w:val="34E457D1"/>
    <w:rsid w:val="34F900D8"/>
    <w:rsid w:val="350742D9"/>
    <w:rsid w:val="362D6002"/>
    <w:rsid w:val="365F4E53"/>
    <w:rsid w:val="371A2EDF"/>
    <w:rsid w:val="37557EB7"/>
    <w:rsid w:val="38151C02"/>
    <w:rsid w:val="384C1441"/>
    <w:rsid w:val="38A17E94"/>
    <w:rsid w:val="398506B5"/>
    <w:rsid w:val="3B285348"/>
    <w:rsid w:val="3D763AC1"/>
    <w:rsid w:val="3DF846C6"/>
    <w:rsid w:val="3E0B0C1F"/>
    <w:rsid w:val="3E966609"/>
    <w:rsid w:val="3F3A566E"/>
    <w:rsid w:val="3F5C54AA"/>
    <w:rsid w:val="40975474"/>
    <w:rsid w:val="40C33A32"/>
    <w:rsid w:val="411A7005"/>
    <w:rsid w:val="419E1DAA"/>
    <w:rsid w:val="42150701"/>
    <w:rsid w:val="42383090"/>
    <w:rsid w:val="42731488"/>
    <w:rsid w:val="4498341D"/>
    <w:rsid w:val="455F14E0"/>
    <w:rsid w:val="460E1292"/>
    <w:rsid w:val="46F92CE4"/>
    <w:rsid w:val="47315DDB"/>
    <w:rsid w:val="476B114D"/>
    <w:rsid w:val="48DC39D9"/>
    <w:rsid w:val="49991757"/>
    <w:rsid w:val="49F34D73"/>
    <w:rsid w:val="4A55673E"/>
    <w:rsid w:val="4BA206E8"/>
    <w:rsid w:val="4BB604FC"/>
    <w:rsid w:val="4C2B26D1"/>
    <w:rsid w:val="4C4403E1"/>
    <w:rsid w:val="4D140A75"/>
    <w:rsid w:val="4D394177"/>
    <w:rsid w:val="4D3C64E3"/>
    <w:rsid w:val="4D744F0E"/>
    <w:rsid w:val="4D970721"/>
    <w:rsid w:val="4DBA3187"/>
    <w:rsid w:val="4F3C71A0"/>
    <w:rsid w:val="50460EBA"/>
    <w:rsid w:val="51596A8E"/>
    <w:rsid w:val="51A733AB"/>
    <w:rsid w:val="51F13EB5"/>
    <w:rsid w:val="52474FA2"/>
    <w:rsid w:val="52C944FD"/>
    <w:rsid w:val="53525C87"/>
    <w:rsid w:val="53757817"/>
    <w:rsid w:val="53E01277"/>
    <w:rsid w:val="540F159F"/>
    <w:rsid w:val="55791AE2"/>
    <w:rsid w:val="55FB3633"/>
    <w:rsid w:val="562357F2"/>
    <w:rsid w:val="563F54B2"/>
    <w:rsid w:val="56AA448D"/>
    <w:rsid w:val="56B86F51"/>
    <w:rsid w:val="56DA77A8"/>
    <w:rsid w:val="57817465"/>
    <w:rsid w:val="58097E4E"/>
    <w:rsid w:val="595F1858"/>
    <w:rsid w:val="598B1A42"/>
    <w:rsid w:val="59E70EDB"/>
    <w:rsid w:val="59F82364"/>
    <w:rsid w:val="5A3C2D81"/>
    <w:rsid w:val="5B266686"/>
    <w:rsid w:val="5B9E5287"/>
    <w:rsid w:val="5E632F56"/>
    <w:rsid w:val="5E7021D3"/>
    <w:rsid w:val="5EC5452A"/>
    <w:rsid w:val="5FDF516B"/>
    <w:rsid w:val="5FFA3A11"/>
    <w:rsid w:val="60860135"/>
    <w:rsid w:val="60B73258"/>
    <w:rsid w:val="6172332A"/>
    <w:rsid w:val="625B7320"/>
    <w:rsid w:val="62BE2514"/>
    <w:rsid w:val="62F73502"/>
    <w:rsid w:val="636B2577"/>
    <w:rsid w:val="63F864E2"/>
    <w:rsid w:val="64FC7C6F"/>
    <w:rsid w:val="65151CBE"/>
    <w:rsid w:val="65DB4848"/>
    <w:rsid w:val="65DD2957"/>
    <w:rsid w:val="66C51439"/>
    <w:rsid w:val="66DB5340"/>
    <w:rsid w:val="67357129"/>
    <w:rsid w:val="673D4C7D"/>
    <w:rsid w:val="67446775"/>
    <w:rsid w:val="67C46FEB"/>
    <w:rsid w:val="68E10989"/>
    <w:rsid w:val="691A0FFC"/>
    <w:rsid w:val="697E2D77"/>
    <w:rsid w:val="69AE392E"/>
    <w:rsid w:val="6A96729C"/>
    <w:rsid w:val="6AE938D6"/>
    <w:rsid w:val="6B412810"/>
    <w:rsid w:val="6BAC2A8E"/>
    <w:rsid w:val="6BDC60F7"/>
    <w:rsid w:val="6BF50644"/>
    <w:rsid w:val="6D3B75EE"/>
    <w:rsid w:val="6D5C5A33"/>
    <w:rsid w:val="6DD02A26"/>
    <w:rsid w:val="6E08427F"/>
    <w:rsid w:val="6EB51E02"/>
    <w:rsid w:val="6EB943FB"/>
    <w:rsid w:val="6F1940E5"/>
    <w:rsid w:val="6F1956E5"/>
    <w:rsid w:val="6F35349E"/>
    <w:rsid w:val="6F63664C"/>
    <w:rsid w:val="6F74627E"/>
    <w:rsid w:val="6F8D5088"/>
    <w:rsid w:val="70B15B5D"/>
    <w:rsid w:val="71441068"/>
    <w:rsid w:val="71AB4D21"/>
    <w:rsid w:val="71EE4C94"/>
    <w:rsid w:val="73C86534"/>
    <w:rsid w:val="74150840"/>
    <w:rsid w:val="74980BD9"/>
    <w:rsid w:val="75766178"/>
    <w:rsid w:val="76767132"/>
    <w:rsid w:val="7678524B"/>
    <w:rsid w:val="76CA18BD"/>
    <w:rsid w:val="773F32F1"/>
    <w:rsid w:val="775F6709"/>
    <w:rsid w:val="779D63F4"/>
    <w:rsid w:val="77E02294"/>
    <w:rsid w:val="78393566"/>
    <w:rsid w:val="785D116F"/>
    <w:rsid w:val="78A841AA"/>
    <w:rsid w:val="78D95BB6"/>
    <w:rsid w:val="79373E6D"/>
    <w:rsid w:val="79833D1B"/>
    <w:rsid w:val="79CD1C04"/>
    <w:rsid w:val="7A245242"/>
    <w:rsid w:val="7A4A160C"/>
    <w:rsid w:val="7ACB2139"/>
    <w:rsid w:val="7B4F7695"/>
    <w:rsid w:val="7B841A35"/>
    <w:rsid w:val="7CA35420"/>
    <w:rsid w:val="7D5E2C11"/>
    <w:rsid w:val="7E1E3CFB"/>
    <w:rsid w:val="7E613E8C"/>
    <w:rsid w:val="7F8B60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2" w:uiPriority="99" w:unhideWhenUsed="1"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1I"/>
    <w:qFormat/>
    <w:rsid w:val="00BC60A1"/>
    <w:pPr>
      <w:widowControl w:val="0"/>
      <w:jc w:val="both"/>
    </w:pPr>
    <w:rPr>
      <w:kern w:val="2"/>
      <w:sz w:val="21"/>
      <w:szCs w:val="24"/>
    </w:rPr>
  </w:style>
  <w:style w:type="paragraph" w:styleId="30">
    <w:name w:val="heading 3"/>
    <w:basedOn w:val="a"/>
    <w:next w:val="a"/>
    <w:unhideWhenUsed/>
    <w:qFormat/>
    <w:rsid w:val="00BC60A1"/>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
    <w:name w:val="BodyText1I"/>
    <w:basedOn w:val="BodyText"/>
    <w:qFormat/>
    <w:rsid w:val="00BC60A1"/>
    <w:pPr>
      <w:ind w:firstLineChars="100" w:firstLine="420"/>
    </w:pPr>
  </w:style>
  <w:style w:type="paragraph" w:customStyle="1" w:styleId="BodyText">
    <w:name w:val="BodyText"/>
    <w:basedOn w:val="a"/>
    <w:qFormat/>
    <w:rsid w:val="00BC60A1"/>
    <w:pPr>
      <w:spacing w:line="380" w:lineRule="exact"/>
    </w:pPr>
    <w:rPr>
      <w:sz w:val="24"/>
    </w:rPr>
  </w:style>
  <w:style w:type="paragraph" w:styleId="a3">
    <w:name w:val="Normal Indent"/>
    <w:basedOn w:val="a"/>
    <w:qFormat/>
    <w:rsid w:val="00BC60A1"/>
    <w:pPr>
      <w:ind w:firstLineChars="200" w:firstLine="420"/>
    </w:pPr>
  </w:style>
  <w:style w:type="paragraph" w:styleId="a4">
    <w:name w:val="annotation text"/>
    <w:basedOn w:val="a"/>
    <w:qFormat/>
    <w:rsid w:val="00BC60A1"/>
    <w:pPr>
      <w:jc w:val="left"/>
    </w:pPr>
  </w:style>
  <w:style w:type="paragraph" w:styleId="a5">
    <w:name w:val="Body Text"/>
    <w:basedOn w:val="a"/>
    <w:qFormat/>
    <w:rsid w:val="00BC60A1"/>
    <w:rPr>
      <w:rFonts w:ascii="黑体" w:eastAsia="黑体" w:hAnsi="Courier New"/>
      <w:sz w:val="30"/>
      <w:shd w:val="pct10" w:color="auto" w:fill="FFFFFF"/>
    </w:rPr>
  </w:style>
  <w:style w:type="paragraph" w:styleId="a6">
    <w:name w:val="Body Text Indent"/>
    <w:basedOn w:val="a"/>
    <w:next w:val="2"/>
    <w:qFormat/>
    <w:rsid w:val="00BC60A1"/>
    <w:pPr>
      <w:spacing w:line="720" w:lineRule="exact"/>
      <w:ind w:firstLine="601"/>
    </w:pPr>
    <w:rPr>
      <w:rFonts w:ascii="宋体" w:hAnsi="宋体"/>
      <w:sz w:val="24"/>
    </w:rPr>
  </w:style>
  <w:style w:type="paragraph" w:styleId="2">
    <w:name w:val="Body Text First Indent 2"/>
    <w:basedOn w:val="a6"/>
    <w:uiPriority w:val="99"/>
    <w:unhideWhenUsed/>
    <w:qFormat/>
    <w:rsid w:val="00BC60A1"/>
    <w:pPr>
      <w:tabs>
        <w:tab w:val="left" w:pos="720"/>
      </w:tabs>
      <w:ind w:firstLine="420"/>
    </w:pPr>
    <w:rPr>
      <w:rFonts w:ascii="Times New Roman" w:hAnsi="Times New Roman"/>
      <w:szCs w:val="20"/>
    </w:rPr>
  </w:style>
  <w:style w:type="paragraph" w:styleId="a7">
    <w:name w:val="Plain Text"/>
    <w:basedOn w:val="a"/>
    <w:qFormat/>
    <w:rsid w:val="00BC60A1"/>
    <w:rPr>
      <w:rFonts w:ascii="宋体" w:hAnsi="Courier New"/>
      <w:szCs w:val="20"/>
    </w:rPr>
  </w:style>
  <w:style w:type="paragraph" w:styleId="a8">
    <w:name w:val="Balloon Text"/>
    <w:basedOn w:val="a"/>
    <w:link w:val="Char"/>
    <w:qFormat/>
    <w:rsid w:val="00BC60A1"/>
    <w:rPr>
      <w:sz w:val="18"/>
      <w:szCs w:val="18"/>
    </w:rPr>
  </w:style>
  <w:style w:type="paragraph" w:styleId="a9">
    <w:name w:val="footer"/>
    <w:basedOn w:val="a"/>
    <w:qFormat/>
    <w:rsid w:val="00BC60A1"/>
    <w:pPr>
      <w:tabs>
        <w:tab w:val="center" w:pos="4153"/>
        <w:tab w:val="right" w:pos="8306"/>
      </w:tabs>
      <w:snapToGrid w:val="0"/>
      <w:jc w:val="left"/>
    </w:pPr>
    <w:rPr>
      <w:sz w:val="18"/>
      <w:szCs w:val="18"/>
    </w:rPr>
  </w:style>
  <w:style w:type="paragraph" w:styleId="aa">
    <w:name w:val="header"/>
    <w:basedOn w:val="a"/>
    <w:qFormat/>
    <w:rsid w:val="00BC60A1"/>
    <w:pPr>
      <w:pBdr>
        <w:bottom w:val="single" w:sz="6" w:space="1" w:color="auto"/>
      </w:pBdr>
      <w:tabs>
        <w:tab w:val="center" w:pos="4153"/>
        <w:tab w:val="right" w:pos="8306"/>
      </w:tabs>
      <w:snapToGrid w:val="0"/>
      <w:jc w:val="center"/>
    </w:pPr>
    <w:rPr>
      <w:sz w:val="18"/>
      <w:szCs w:val="20"/>
    </w:rPr>
  </w:style>
  <w:style w:type="paragraph" w:styleId="1">
    <w:name w:val="toc 1"/>
    <w:basedOn w:val="a"/>
    <w:next w:val="a"/>
    <w:qFormat/>
    <w:rsid w:val="00BC60A1"/>
    <w:pPr>
      <w:tabs>
        <w:tab w:val="left" w:pos="735"/>
        <w:tab w:val="right" w:leader="dot" w:pos="9530"/>
      </w:tabs>
      <w:spacing w:line="440" w:lineRule="exact"/>
    </w:pPr>
  </w:style>
  <w:style w:type="paragraph" w:styleId="20">
    <w:name w:val="toc 2"/>
    <w:basedOn w:val="a"/>
    <w:next w:val="a"/>
    <w:qFormat/>
    <w:rsid w:val="00BC60A1"/>
    <w:pPr>
      <w:ind w:leftChars="200" w:left="420"/>
    </w:pPr>
  </w:style>
  <w:style w:type="paragraph" w:styleId="ab">
    <w:name w:val="Normal (Web)"/>
    <w:basedOn w:val="a"/>
    <w:qFormat/>
    <w:rsid w:val="00BC60A1"/>
    <w:pPr>
      <w:widowControl/>
      <w:spacing w:beforeAutospacing="1" w:afterAutospacing="1"/>
      <w:jc w:val="left"/>
    </w:pPr>
    <w:rPr>
      <w:rFonts w:ascii="宋体" w:hAnsi="宋体" w:cs="宋体"/>
      <w:kern w:val="0"/>
      <w:sz w:val="24"/>
    </w:rPr>
  </w:style>
  <w:style w:type="table" w:styleId="ac">
    <w:name w:val="Table Grid"/>
    <w:basedOn w:val="a1"/>
    <w:uiPriority w:val="39"/>
    <w:qFormat/>
    <w:rsid w:val="00BC60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BC60A1"/>
    <w:rPr>
      <w:b/>
    </w:rPr>
  </w:style>
  <w:style w:type="character" w:styleId="ae">
    <w:name w:val="page number"/>
    <w:basedOn w:val="a0"/>
    <w:qFormat/>
    <w:rsid w:val="00BC60A1"/>
    <w:rPr>
      <w:rFonts w:ascii="Times New Roman" w:eastAsia="宋体" w:hAnsi="Times New Roman" w:cs="Times New Roman"/>
    </w:rPr>
  </w:style>
  <w:style w:type="character" w:styleId="af">
    <w:name w:val="Hyperlink"/>
    <w:qFormat/>
    <w:rsid w:val="00BC60A1"/>
    <w:rPr>
      <w:rFonts w:ascii="Times New Roman" w:eastAsia="宋体" w:hAnsi="Times New Roman" w:cs="Times New Roman"/>
      <w:color w:val="0000FF"/>
      <w:u w:val="single"/>
    </w:rPr>
  </w:style>
  <w:style w:type="paragraph" w:customStyle="1" w:styleId="10">
    <w:name w:val="样式 10 磅"/>
    <w:qFormat/>
    <w:rsid w:val="00BC60A1"/>
    <w:pPr>
      <w:widowControl w:val="0"/>
      <w:jc w:val="both"/>
    </w:pPr>
    <w:rPr>
      <w:rFonts w:ascii="Calibri" w:hAnsi="Calibri"/>
      <w:kern w:val="2"/>
      <w:sz w:val="21"/>
      <w:szCs w:val="24"/>
    </w:rPr>
  </w:style>
  <w:style w:type="paragraph" w:customStyle="1" w:styleId="Flietext">
    <w:name w:val="Fließtext"/>
    <w:basedOn w:val="a"/>
    <w:qFormat/>
    <w:rsid w:val="00BC60A1"/>
    <w:pPr>
      <w:overflowPunct w:val="0"/>
      <w:autoSpaceDE w:val="0"/>
      <w:autoSpaceDN w:val="0"/>
      <w:adjustRightInd w:val="0"/>
      <w:textAlignment w:val="baseline"/>
    </w:pPr>
    <w:rPr>
      <w:kern w:val="28"/>
    </w:rPr>
  </w:style>
  <w:style w:type="paragraph" w:customStyle="1" w:styleId="Default">
    <w:name w:val="Default"/>
    <w:qFormat/>
    <w:rsid w:val="00BC60A1"/>
    <w:pPr>
      <w:widowControl w:val="0"/>
      <w:autoSpaceDE w:val="0"/>
      <w:autoSpaceDN w:val="0"/>
      <w:adjustRightInd w:val="0"/>
    </w:pPr>
    <w:rPr>
      <w:rFonts w:ascii="宋体"/>
      <w:color w:val="000000"/>
      <w:sz w:val="24"/>
      <w:szCs w:val="24"/>
    </w:rPr>
  </w:style>
  <w:style w:type="paragraph" w:customStyle="1" w:styleId="CharCharChar">
    <w:name w:val="Char Char Char"/>
    <w:basedOn w:val="a"/>
    <w:qFormat/>
    <w:rsid w:val="00BC60A1"/>
    <w:rPr>
      <w:rFonts w:ascii="Tahoma" w:hAnsi="Tahoma"/>
      <w:sz w:val="24"/>
      <w:szCs w:val="20"/>
    </w:rPr>
  </w:style>
  <w:style w:type="paragraph" w:customStyle="1" w:styleId="122003009">
    <w:name w:val="正文_122_0_0_3_0_0_9"/>
    <w:qFormat/>
    <w:rsid w:val="00BC60A1"/>
    <w:pPr>
      <w:widowControl w:val="0"/>
      <w:jc w:val="both"/>
    </w:pPr>
    <w:rPr>
      <w:rFonts w:ascii="Calibri" w:hAnsi="Calibri"/>
      <w:kern w:val="2"/>
      <w:sz w:val="21"/>
      <w:szCs w:val="24"/>
    </w:rPr>
  </w:style>
  <w:style w:type="paragraph" w:customStyle="1" w:styleId="31">
    <w:name w:val="样式3"/>
    <w:basedOn w:val="a7"/>
    <w:link w:val="3Char"/>
    <w:qFormat/>
    <w:rsid w:val="00BC60A1"/>
    <w:pPr>
      <w:spacing w:line="0" w:lineRule="atLeast"/>
      <w:outlineLvl w:val="0"/>
    </w:pPr>
    <w:rPr>
      <w:rFonts w:ascii="Times New Roman" w:hAnsi="Times New Roman"/>
      <w:sz w:val="28"/>
      <w:szCs w:val="24"/>
    </w:rPr>
  </w:style>
  <w:style w:type="paragraph" w:customStyle="1" w:styleId="Char1">
    <w:name w:val="Char1"/>
    <w:basedOn w:val="a"/>
    <w:qFormat/>
    <w:rsid w:val="00BC60A1"/>
    <w:rPr>
      <w:rFonts w:ascii="Tahoma" w:hAnsi="Tahoma"/>
      <w:sz w:val="24"/>
      <w:szCs w:val="20"/>
    </w:rPr>
  </w:style>
  <w:style w:type="paragraph" w:customStyle="1" w:styleId="3">
    <w:name w:val="标3"/>
    <w:basedOn w:val="a"/>
    <w:qFormat/>
    <w:rsid w:val="00BC60A1"/>
    <w:pPr>
      <w:numPr>
        <w:ilvl w:val="2"/>
        <w:numId w:val="1"/>
      </w:numPr>
      <w:tabs>
        <w:tab w:val="left" w:pos="840"/>
      </w:tabs>
      <w:adjustRightInd w:val="0"/>
      <w:snapToGrid w:val="0"/>
      <w:spacing w:before="50"/>
      <w:outlineLvl w:val="2"/>
    </w:pPr>
    <w:rPr>
      <w:rFonts w:ascii="Arial Narrow" w:eastAsia="仿宋_GB2312" w:hAnsi="Arial Narrow"/>
      <w:sz w:val="28"/>
      <w:szCs w:val="20"/>
    </w:rPr>
  </w:style>
  <w:style w:type="character" w:customStyle="1" w:styleId="CharChar2">
    <w:name w:val="普通文字 Char Char2"/>
    <w:qFormat/>
    <w:rsid w:val="00BC60A1"/>
    <w:rPr>
      <w:rFonts w:ascii="宋体" w:eastAsia="宋体" w:hAnsi="Courier New" w:cs="Times New Roman"/>
      <w:kern w:val="2"/>
      <w:sz w:val="21"/>
      <w:lang w:val="en-US" w:eastAsia="zh-CN" w:bidi="ar-SA"/>
    </w:rPr>
  </w:style>
  <w:style w:type="character" w:customStyle="1" w:styleId="font41">
    <w:name w:val="font41"/>
    <w:basedOn w:val="a0"/>
    <w:qFormat/>
    <w:rsid w:val="00BC60A1"/>
    <w:rPr>
      <w:rFonts w:ascii="微软雅黑" w:eastAsia="微软雅黑" w:hAnsi="微软雅黑" w:cs="微软雅黑" w:hint="eastAsia"/>
      <w:color w:val="000000"/>
      <w:sz w:val="20"/>
      <w:szCs w:val="20"/>
      <w:u w:val="none"/>
    </w:rPr>
  </w:style>
  <w:style w:type="character" w:customStyle="1" w:styleId="font31">
    <w:name w:val="font31"/>
    <w:basedOn w:val="a0"/>
    <w:qFormat/>
    <w:rsid w:val="00BC60A1"/>
    <w:rPr>
      <w:rFonts w:ascii="微软雅黑" w:eastAsia="微软雅黑" w:hAnsi="微软雅黑" w:cs="微软雅黑" w:hint="eastAsia"/>
      <w:color w:val="FF0000"/>
      <w:sz w:val="20"/>
      <w:szCs w:val="20"/>
      <w:u w:val="none"/>
    </w:rPr>
  </w:style>
  <w:style w:type="character" w:customStyle="1" w:styleId="Char">
    <w:name w:val="批注框文本 Char"/>
    <w:basedOn w:val="a0"/>
    <w:link w:val="a8"/>
    <w:qFormat/>
    <w:rsid w:val="00BC60A1"/>
    <w:rPr>
      <w:rFonts w:ascii="Times New Roman" w:eastAsia="宋体" w:hAnsi="Times New Roman" w:cs="Times New Roman"/>
      <w:kern w:val="2"/>
      <w:sz w:val="18"/>
      <w:szCs w:val="18"/>
    </w:rPr>
  </w:style>
  <w:style w:type="character" w:customStyle="1" w:styleId="3Char">
    <w:name w:val="样式3 Char"/>
    <w:link w:val="31"/>
    <w:qFormat/>
    <w:rsid w:val="00BC60A1"/>
    <w:rPr>
      <w:rFonts w:ascii="Times New Roman" w:eastAsia="宋体" w:hAnsi="Times New Roman" w:cs="Times New Roman"/>
      <w:kern w:val="2"/>
      <w:sz w:val="28"/>
      <w:szCs w:val="24"/>
    </w:rPr>
  </w:style>
  <w:style w:type="paragraph" w:customStyle="1" w:styleId="Char11">
    <w:name w:val="Char11"/>
    <w:basedOn w:val="a"/>
    <w:qFormat/>
    <w:rsid w:val="00BC60A1"/>
    <w:rPr>
      <w:rFonts w:ascii="Tahoma" w:hAnsi="Tahoma"/>
      <w:sz w:val="24"/>
      <w:szCs w:val="20"/>
    </w:rPr>
  </w:style>
  <w:style w:type="paragraph" w:styleId="af0">
    <w:name w:val="No Spacing"/>
    <w:uiPriority w:val="1"/>
    <w:qFormat/>
    <w:rsid w:val="00BC60A1"/>
    <w:pPr>
      <w:widowControl w:val="0"/>
      <w:jc w:val="both"/>
    </w:pPr>
    <w:rPr>
      <w:kern w:val="2"/>
      <w:sz w:val="21"/>
      <w:szCs w:val="24"/>
    </w:rPr>
  </w:style>
  <w:style w:type="paragraph" w:styleId="af1">
    <w:name w:val="List Paragraph"/>
    <w:basedOn w:val="a"/>
    <w:uiPriority w:val="34"/>
    <w:qFormat/>
    <w:rsid w:val="00BC60A1"/>
    <w:pPr>
      <w:spacing w:line="360" w:lineRule="auto"/>
      <w:ind w:firstLineChars="200" w:firstLine="420"/>
    </w:pPr>
    <w:rPr>
      <w:rFonts w:asciiTheme="minorHAnsi" w:eastAsiaTheme="minorEastAsia" w:hAnsiTheme="minorHAnsi" w:cstheme="minorBidi"/>
      <w:sz w:val="24"/>
    </w:rPr>
  </w:style>
  <w:style w:type="paragraph" w:customStyle="1" w:styleId="Char12">
    <w:name w:val="Char12"/>
    <w:basedOn w:val="a"/>
    <w:qFormat/>
    <w:rsid w:val="00BC60A1"/>
    <w:rPr>
      <w:rFonts w:ascii="Tahoma" w:hAnsi="Tahoma"/>
      <w:sz w:val="24"/>
      <w:szCs w:val="20"/>
    </w:rPr>
  </w:style>
  <w:style w:type="paragraph" w:customStyle="1" w:styleId="Other1">
    <w:name w:val="Other|1"/>
    <w:basedOn w:val="a"/>
    <w:qFormat/>
    <w:rsid w:val="00BC60A1"/>
    <w:pPr>
      <w:jc w:val="center"/>
    </w:pPr>
    <w:rPr>
      <w:rFonts w:ascii="宋体" w:hAnsi="宋体" w:cs="宋体"/>
      <w:sz w:val="18"/>
      <w:szCs w:val="18"/>
      <w:lang w:val="zh-TW" w:eastAsia="zh-TW" w:bidi="zh-TW"/>
    </w:rPr>
  </w:style>
  <w:style w:type="paragraph" w:customStyle="1" w:styleId="Bodytext1">
    <w:name w:val="Body text|1"/>
    <w:basedOn w:val="a"/>
    <w:qFormat/>
    <w:rsid w:val="00BC60A1"/>
    <w:rPr>
      <w:rFonts w:ascii="宋体" w:hAnsi="宋体" w:cs="宋体"/>
      <w:color w:val="E17689"/>
      <w:sz w:val="12"/>
      <w:szCs w:val="12"/>
    </w:rPr>
  </w:style>
  <w:style w:type="character" w:customStyle="1" w:styleId="font21">
    <w:name w:val="font21"/>
    <w:basedOn w:val="a0"/>
    <w:qFormat/>
    <w:rsid w:val="00BC60A1"/>
    <w:rPr>
      <w:rFonts w:ascii="宋体" w:eastAsia="宋体" w:hAnsi="宋体" w:cs="宋体" w:hint="eastAsia"/>
      <w:color w:val="000000"/>
      <w:sz w:val="22"/>
      <w:szCs w:val="22"/>
      <w:u w:val="none"/>
    </w:rPr>
  </w:style>
  <w:style w:type="character" w:customStyle="1" w:styleId="font01">
    <w:name w:val="font01"/>
    <w:basedOn w:val="a0"/>
    <w:qFormat/>
    <w:rsid w:val="00BC60A1"/>
    <w:rPr>
      <w:rFonts w:ascii="宋体" w:eastAsia="宋体" w:hAnsi="宋体" w:cs="宋体" w:hint="eastAsia"/>
      <w:color w:val="000000"/>
      <w:sz w:val="21"/>
      <w:szCs w:val="21"/>
      <w:u w:val="none"/>
    </w:rPr>
  </w:style>
  <w:style w:type="paragraph" w:customStyle="1" w:styleId="black1">
    <w:name w:val="black1"/>
    <w:basedOn w:val="a"/>
    <w:qFormat/>
    <w:rsid w:val="00BC60A1"/>
    <w:pPr>
      <w:widowControl/>
      <w:spacing w:before="100" w:beforeAutospacing="1" w:after="100" w:afterAutospacing="1"/>
      <w:jc w:val="left"/>
    </w:pPr>
    <w:rPr>
      <w:rFonts w:ascii="宋体" w:hAnsi="宋体"/>
      <w:sz w:val="24"/>
    </w:rPr>
  </w:style>
  <w:style w:type="paragraph" w:customStyle="1" w:styleId="af2">
    <w:name w:val="表格内字体字号"/>
    <w:basedOn w:val="a"/>
    <w:qFormat/>
    <w:rsid w:val="00BC60A1"/>
    <w:pPr>
      <w:topLinePunct/>
      <w:snapToGrid w:val="0"/>
      <w:spacing w:beforeLines="20" w:afterLines="20" w:line="360" w:lineRule="auto"/>
      <w:ind w:leftChars="30" w:left="30" w:rightChars="30" w:right="30"/>
      <w:jc w:val="center"/>
    </w:pPr>
    <w:rPr>
      <w:rFonts w:ascii="宋体" w:hAnsi="宋体" w:cs="宋体"/>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CF90EC8-26F4-4F05-9CFA-52BB89955B7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17</Pages>
  <Words>1818</Words>
  <Characters>10365</Characters>
  <Application>Microsoft Office Word</Application>
  <DocSecurity>0</DocSecurity>
  <Lines>86</Lines>
  <Paragraphs>24</Paragraphs>
  <ScaleCrop>false</ScaleCrop>
  <Company>china</Company>
  <LinksUpToDate>false</LinksUpToDate>
  <CharactersWithSpaces>12159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pc-20171224</dc:creator>
  <cp:lastModifiedBy>邱伟星</cp:lastModifiedBy>
  <cp:revision>96</cp:revision>
  <cp:lastPrinted>2022-11-03T03:35:00Z</cp:lastPrinted>
  <dcterms:created xsi:type="dcterms:W3CDTF">2019-05-20T03:47:00Z</dcterms:created>
  <dcterms:modified xsi:type="dcterms:W3CDTF">2022-11-09T09:03:00Z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0FDA186F17E044499919DDD634821405</vt:lpwstr>
  </property>
  <property fmtid="{D5CDD505-2E9C-101B-9397-08002B2CF9AE}" pid="4" name="commondata">
    <vt:lpwstr>eyJoZGlkIjoiYWM2MWE2ZWUzZWYwZjZjMmU4NjE3ZmMzYmIxZTNjYTkifQ==</vt:lpwstr>
  </property>
</Properties>
</file>