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7DFFC">
      <w:pPr>
        <w:widowControl/>
        <w:jc w:val="left"/>
        <w:rPr>
          <w:rFonts w:hint="default" w:ascii="仿宋_GB2312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附件1</w:t>
      </w:r>
    </w:p>
    <w:p w14:paraId="337A37E2">
      <w:pPr>
        <w:widowControl/>
        <w:spacing w:line="240" w:lineRule="auto"/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福建省锅炉压力容器检验研究院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漳州</w:t>
      </w:r>
      <w:r>
        <w:rPr>
          <w:rFonts w:hint="eastAsia" w:ascii="仿宋_GB2312" w:eastAsia="仿宋_GB2312"/>
          <w:b/>
          <w:sz w:val="32"/>
          <w:szCs w:val="32"/>
        </w:rPr>
        <w:t>分院化学药品类耗材采购报价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函</w:t>
      </w:r>
    </w:p>
    <w:p w14:paraId="7F02E853">
      <w:pPr>
        <w:widowControl/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u w:val="single"/>
        </w:rPr>
        <w:t>福建省锅炉压力容器检验研究院漳州分院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</w:p>
    <w:p w14:paraId="73EB165F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111111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根据贵院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eastAsia="zh-CN"/>
        </w:rPr>
        <w:t>化学药品类耗材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采购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公告</w:t>
      </w:r>
      <w:r>
        <w:rPr>
          <w:rFonts w:hint="eastAsia" w:ascii="宋体" w:hAnsi="宋体" w:cs="宋体"/>
          <w:kern w:val="0"/>
          <w:sz w:val="24"/>
          <w:szCs w:val="24"/>
        </w:rPr>
        <w:t>，我司已充分了解贵单位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cs="宋体"/>
          <w:kern w:val="0"/>
          <w:sz w:val="24"/>
          <w:szCs w:val="24"/>
        </w:rPr>
        <w:t>采购需求，我方的报价如下：</w:t>
      </w:r>
    </w:p>
    <w:tbl>
      <w:tblPr>
        <w:tblStyle w:val="3"/>
        <w:tblpPr w:leftFromText="180" w:rightFromText="180" w:vertAnchor="text" w:tblpXSpec="center" w:tblpY="1"/>
        <w:tblOverlap w:val="never"/>
        <w:tblW w:w="11276" w:type="dxa"/>
        <w:tblInd w:w="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520"/>
        <w:gridCol w:w="680"/>
        <w:gridCol w:w="1645"/>
        <w:gridCol w:w="934"/>
        <w:gridCol w:w="2883"/>
        <w:gridCol w:w="1000"/>
        <w:gridCol w:w="750"/>
        <w:gridCol w:w="941"/>
        <w:gridCol w:w="434"/>
      </w:tblGrid>
      <w:tr w14:paraId="0965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9" w:type="dxa"/>
            <w:noWrap w:val="0"/>
            <w:vAlign w:val="center"/>
          </w:tcPr>
          <w:p w14:paraId="04087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520" w:type="dxa"/>
            <w:noWrap w:val="0"/>
            <w:vAlign w:val="center"/>
          </w:tcPr>
          <w:p w14:paraId="44683E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680" w:type="dxa"/>
            <w:noWrap w:val="0"/>
            <w:vAlign w:val="center"/>
          </w:tcPr>
          <w:p w14:paraId="335C0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品牌</w:t>
            </w:r>
          </w:p>
        </w:tc>
        <w:tc>
          <w:tcPr>
            <w:tcW w:w="1645" w:type="dxa"/>
            <w:noWrap w:val="0"/>
            <w:vAlign w:val="center"/>
          </w:tcPr>
          <w:p w14:paraId="2DC7E4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生产厂家</w:t>
            </w:r>
          </w:p>
        </w:tc>
        <w:tc>
          <w:tcPr>
            <w:tcW w:w="934" w:type="dxa"/>
            <w:noWrap w:val="0"/>
            <w:vAlign w:val="center"/>
          </w:tcPr>
          <w:p w14:paraId="50306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型号/</w:t>
            </w:r>
          </w:p>
          <w:p w14:paraId="595B8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</w:t>
            </w:r>
          </w:p>
        </w:tc>
        <w:tc>
          <w:tcPr>
            <w:tcW w:w="2883" w:type="dxa"/>
            <w:noWrap w:val="0"/>
            <w:vAlign w:val="center"/>
          </w:tcPr>
          <w:p w14:paraId="75015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技术参数</w:t>
            </w:r>
          </w:p>
        </w:tc>
        <w:tc>
          <w:tcPr>
            <w:tcW w:w="1000" w:type="dxa"/>
            <w:noWrap w:val="0"/>
            <w:vAlign w:val="center"/>
          </w:tcPr>
          <w:p w14:paraId="59DF3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750" w:type="dxa"/>
            <w:noWrap w:val="0"/>
            <w:vAlign w:val="center"/>
          </w:tcPr>
          <w:p w14:paraId="06FF2D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单价</w:t>
            </w:r>
          </w:p>
        </w:tc>
        <w:tc>
          <w:tcPr>
            <w:tcW w:w="941" w:type="dxa"/>
            <w:noWrap w:val="0"/>
            <w:vAlign w:val="center"/>
          </w:tcPr>
          <w:p w14:paraId="3444C2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(元)</w:t>
            </w:r>
          </w:p>
        </w:tc>
        <w:tc>
          <w:tcPr>
            <w:tcW w:w="434" w:type="dxa"/>
            <w:noWrap w:val="0"/>
            <w:vAlign w:val="center"/>
          </w:tcPr>
          <w:p w14:paraId="72D65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25B7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89" w:type="dxa"/>
            <w:shd w:val="clear" w:color="auto" w:fill="auto"/>
            <w:noWrap w:val="0"/>
            <w:vAlign w:val="center"/>
          </w:tcPr>
          <w:p w14:paraId="6026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0" w:type="dxa"/>
            <w:shd w:val="clear" w:color="FFFF00" w:fill="auto"/>
            <w:noWrap w:val="0"/>
            <w:vAlign w:val="center"/>
          </w:tcPr>
          <w:p w14:paraId="4712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氢氧化钠</w:t>
            </w:r>
          </w:p>
          <w:p w14:paraId="2D12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（片碱）</w:t>
            </w:r>
          </w:p>
        </w:tc>
        <w:tc>
          <w:tcPr>
            <w:tcW w:w="680" w:type="dxa"/>
            <w:shd w:val="clear" w:color="FFFF00" w:fill="auto"/>
            <w:noWrap w:val="0"/>
            <w:vAlign w:val="center"/>
          </w:tcPr>
          <w:p w14:paraId="43C3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5" w:type="dxa"/>
            <w:shd w:val="clear" w:color="FFFF00" w:fill="auto"/>
            <w:noWrap w:val="0"/>
            <w:vAlign w:val="center"/>
          </w:tcPr>
          <w:p w14:paraId="6AF9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934" w:type="dxa"/>
            <w:shd w:val="clear" w:color="FFFF00" w:fill="auto"/>
            <w:noWrap w:val="0"/>
            <w:vAlign w:val="center"/>
          </w:tcPr>
          <w:p w14:paraId="17A8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883" w:type="dxa"/>
            <w:shd w:val="clear" w:color="FFFF00" w:fill="auto"/>
            <w:noWrap w:val="0"/>
            <w:vAlign w:val="center"/>
          </w:tcPr>
          <w:p w14:paraId="30CD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符合GB 1886.20-2016；</w:t>
            </w:r>
          </w:p>
          <w:p w14:paraId="46F6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含量≥98%；食品级</w:t>
            </w:r>
          </w:p>
        </w:tc>
        <w:tc>
          <w:tcPr>
            <w:tcW w:w="1000" w:type="dxa"/>
            <w:shd w:val="clear" w:color="FFFF00" w:fill="auto"/>
            <w:noWrap w:val="0"/>
            <w:vAlign w:val="center"/>
          </w:tcPr>
          <w:p w14:paraId="656F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2000kg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 w14:paraId="47AE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 w14:paraId="3616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04FF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0A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89" w:type="dxa"/>
            <w:shd w:val="clear" w:color="auto" w:fill="auto"/>
            <w:noWrap w:val="0"/>
            <w:vAlign w:val="center"/>
          </w:tcPr>
          <w:p w14:paraId="6CA6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shd w:val="clear" w:color="FFFF00" w:fill="auto"/>
            <w:noWrap w:val="0"/>
            <w:vAlign w:val="center"/>
          </w:tcPr>
          <w:p w14:paraId="466C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十二水合磷酸三钠（工业）</w:t>
            </w:r>
          </w:p>
        </w:tc>
        <w:tc>
          <w:tcPr>
            <w:tcW w:w="680" w:type="dxa"/>
            <w:shd w:val="clear" w:color="FFFF00" w:fill="auto"/>
            <w:noWrap w:val="0"/>
            <w:vAlign w:val="center"/>
          </w:tcPr>
          <w:p w14:paraId="6F0C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shd w:val="clear" w:color="FFFF00" w:fill="auto"/>
            <w:noWrap w:val="0"/>
            <w:vAlign w:val="center"/>
          </w:tcPr>
          <w:p w14:paraId="2FB1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shd w:val="clear" w:color="FFFF00" w:fill="auto"/>
            <w:noWrap w:val="0"/>
            <w:vAlign w:val="center"/>
          </w:tcPr>
          <w:p w14:paraId="4813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883" w:type="dxa"/>
            <w:shd w:val="clear" w:color="FFFF00" w:fill="auto"/>
            <w:noWrap w:val="0"/>
            <w:vAlign w:val="center"/>
          </w:tcPr>
          <w:p w14:paraId="1B67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符合HG/T 2517-2009；</w:t>
            </w:r>
          </w:p>
          <w:p w14:paraId="11A6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含量≥98%</w:t>
            </w:r>
          </w:p>
        </w:tc>
        <w:tc>
          <w:tcPr>
            <w:tcW w:w="1000" w:type="dxa"/>
            <w:shd w:val="clear" w:color="FFFF00" w:fill="auto"/>
            <w:noWrap w:val="0"/>
            <w:vAlign w:val="center"/>
          </w:tcPr>
          <w:p w14:paraId="6B87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10000kg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 w14:paraId="08C2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 w14:paraId="594E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6A3B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6D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89" w:type="dxa"/>
            <w:shd w:val="clear" w:color="auto" w:fill="auto"/>
            <w:noWrap w:val="0"/>
            <w:vAlign w:val="center"/>
          </w:tcPr>
          <w:p w14:paraId="0475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20" w:type="dxa"/>
            <w:shd w:val="clear" w:color="FFFF00" w:fill="auto"/>
            <w:noWrap w:val="0"/>
            <w:vAlign w:val="center"/>
          </w:tcPr>
          <w:p w14:paraId="4EF8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无水磷酸三钠</w:t>
            </w:r>
          </w:p>
        </w:tc>
        <w:tc>
          <w:tcPr>
            <w:tcW w:w="680" w:type="dxa"/>
            <w:shd w:val="clear" w:color="FFFF00" w:fill="auto"/>
            <w:noWrap w:val="0"/>
            <w:vAlign w:val="center"/>
          </w:tcPr>
          <w:p w14:paraId="6855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shd w:val="clear" w:color="FFFF00" w:fill="auto"/>
            <w:noWrap w:val="0"/>
            <w:vAlign w:val="center"/>
          </w:tcPr>
          <w:p w14:paraId="3761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shd w:val="clear" w:color="FFFF00" w:fill="auto"/>
            <w:noWrap w:val="0"/>
            <w:vAlign w:val="center"/>
          </w:tcPr>
          <w:p w14:paraId="7591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883" w:type="dxa"/>
            <w:shd w:val="clear" w:color="FFFF00" w:fill="auto"/>
            <w:noWrap w:val="0"/>
            <w:vAlign w:val="center"/>
          </w:tcPr>
          <w:p w14:paraId="39C3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符合GB 1886.338-2021；</w:t>
            </w:r>
          </w:p>
          <w:p w14:paraId="4D80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灼烧干基≥97%；食品级</w:t>
            </w:r>
          </w:p>
        </w:tc>
        <w:tc>
          <w:tcPr>
            <w:tcW w:w="1000" w:type="dxa"/>
            <w:shd w:val="clear" w:color="FFFF00" w:fill="auto"/>
            <w:noWrap w:val="0"/>
            <w:vAlign w:val="center"/>
          </w:tcPr>
          <w:p w14:paraId="5B34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2500kg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 w14:paraId="34E6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 w14:paraId="7DFD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6521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6B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489" w:type="dxa"/>
            <w:shd w:val="clear" w:color="auto" w:fill="auto"/>
            <w:noWrap w:val="0"/>
            <w:vAlign w:val="center"/>
          </w:tcPr>
          <w:p w14:paraId="7E63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20" w:type="dxa"/>
            <w:shd w:val="clear" w:color="FFFF00" w:fill="auto"/>
            <w:noWrap w:val="0"/>
            <w:vAlign w:val="center"/>
          </w:tcPr>
          <w:p w14:paraId="527F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无水碳酸钠</w:t>
            </w:r>
          </w:p>
        </w:tc>
        <w:tc>
          <w:tcPr>
            <w:tcW w:w="680" w:type="dxa"/>
            <w:shd w:val="clear" w:color="FFFF00" w:fill="auto"/>
            <w:noWrap w:val="0"/>
            <w:vAlign w:val="center"/>
          </w:tcPr>
          <w:p w14:paraId="2BA6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shd w:val="clear" w:color="FFFF00" w:fill="auto"/>
            <w:noWrap w:val="0"/>
            <w:vAlign w:val="center"/>
          </w:tcPr>
          <w:p w14:paraId="0703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shd w:val="clear" w:color="FFFF00" w:fill="auto"/>
            <w:noWrap w:val="0"/>
            <w:vAlign w:val="center"/>
          </w:tcPr>
          <w:p w14:paraId="1BA6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40kg/包</w:t>
            </w:r>
          </w:p>
        </w:tc>
        <w:tc>
          <w:tcPr>
            <w:tcW w:w="2883" w:type="dxa"/>
            <w:shd w:val="clear" w:color="FFFF00" w:fill="auto"/>
            <w:noWrap w:val="0"/>
            <w:vAlign w:val="center"/>
          </w:tcPr>
          <w:p w14:paraId="3902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符合GB 1886.1-2021；</w:t>
            </w:r>
          </w:p>
          <w:p w14:paraId="1FF2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含量≥99.2%；食品级</w:t>
            </w:r>
          </w:p>
        </w:tc>
        <w:tc>
          <w:tcPr>
            <w:tcW w:w="1000" w:type="dxa"/>
            <w:shd w:val="clear" w:color="FFFF00" w:fill="auto"/>
            <w:noWrap w:val="0"/>
            <w:vAlign w:val="center"/>
          </w:tcPr>
          <w:p w14:paraId="4F1A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2000kg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 w14:paraId="3AFC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 w14:paraId="1EBF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52A4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13A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489" w:type="dxa"/>
            <w:shd w:val="clear" w:color="auto" w:fill="auto"/>
            <w:noWrap w:val="0"/>
            <w:vAlign w:val="center"/>
          </w:tcPr>
          <w:p w14:paraId="411B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20" w:type="dxa"/>
            <w:shd w:val="clear" w:color="FFFF00" w:fill="auto"/>
            <w:noWrap w:val="0"/>
            <w:vAlign w:val="center"/>
          </w:tcPr>
          <w:p w14:paraId="003F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无水亚硫酸钠（工业）</w:t>
            </w:r>
          </w:p>
        </w:tc>
        <w:tc>
          <w:tcPr>
            <w:tcW w:w="680" w:type="dxa"/>
            <w:shd w:val="clear" w:color="FFFF00" w:fill="auto"/>
            <w:noWrap w:val="0"/>
            <w:vAlign w:val="center"/>
          </w:tcPr>
          <w:p w14:paraId="5D40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shd w:val="clear" w:color="FFFF00" w:fill="auto"/>
            <w:noWrap w:val="0"/>
            <w:vAlign w:val="center"/>
          </w:tcPr>
          <w:p w14:paraId="7627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shd w:val="clear" w:color="FFFF00" w:fill="auto"/>
            <w:noWrap w:val="0"/>
            <w:vAlign w:val="center"/>
          </w:tcPr>
          <w:p w14:paraId="7302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883" w:type="dxa"/>
            <w:shd w:val="clear" w:color="FFFF00" w:fill="auto"/>
            <w:noWrap w:val="0"/>
            <w:vAlign w:val="center"/>
          </w:tcPr>
          <w:p w14:paraId="6112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符合HG/T 2967-2010；</w:t>
            </w:r>
          </w:p>
          <w:p w14:paraId="72D3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含量≥97%</w:t>
            </w:r>
          </w:p>
        </w:tc>
        <w:tc>
          <w:tcPr>
            <w:tcW w:w="1000" w:type="dxa"/>
            <w:shd w:val="clear" w:color="FFFF00" w:fill="auto"/>
            <w:noWrap w:val="0"/>
            <w:vAlign w:val="center"/>
          </w:tcPr>
          <w:p w14:paraId="1EAC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1000kg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 w14:paraId="46AB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 w14:paraId="417F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11C8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AF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489" w:type="dxa"/>
            <w:shd w:val="clear" w:color="auto" w:fill="auto"/>
            <w:noWrap w:val="0"/>
            <w:vAlign w:val="center"/>
          </w:tcPr>
          <w:p w14:paraId="56B9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20" w:type="dxa"/>
            <w:shd w:val="clear" w:color="FFFF00" w:fill="auto"/>
            <w:noWrap w:val="0"/>
            <w:vAlign w:val="center"/>
          </w:tcPr>
          <w:p w14:paraId="3FC1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亚硫酸钠</w:t>
            </w:r>
          </w:p>
        </w:tc>
        <w:tc>
          <w:tcPr>
            <w:tcW w:w="680" w:type="dxa"/>
            <w:shd w:val="clear" w:color="FFFF00" w:fill="auto"/>
            <w:noWrap w:val="0"/>
            <w:vAlign w:val="center"/>
          </w:tcPr>
          <w:p w14:paraId="562C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shd w:val="clear" w:color="FFFF00" w:fill="auto"/>
            <w:noWrap w:val="0"/>
            <w:vAlign w:val="center"/>
          </w:tcPr>
          <w:p w14:paraId="2C37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shd w:val="clear" w:color="FFFF00" w:fill="auto"/>
            <w:noWrap w:val="0"/>
            <w:vAlign w:val="center"/>
          </w:tcPr>
          <w:p w14:paraId="35DA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883" w:type="dxa"/>
            <w:shd w:val="clear" w:color="FFFF00" w:fill="auto"/>
            <w:noWrap w:val="0"/>
            <w:vAlign w:val="center"/>
          </w:tcPr>
          <w:p w14:paraId="7B44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符合GB 1886.8-2015；</w:t>
            </w:r>
          </w:p>
          <w:p w14:paraId="280D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含量≥96%；食品级</w:t>
            </w:r>
          </w:p>
        </w:tc>
        <w:tc>
          <w:tcPr>
            <w:tcW w:w="1000" w:type="dxa"/>
            <w:shd w:val="clear" w:color="FFFF00" w:fill="auto"/>
            <w:noWrap w:val="0"/>
            <w:vAlign w:val="center"/>
          </w:tcPr>
          <w:p w14:paraId="1C92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800kg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 w14:paraId="10F4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 w14:paraId="0ADB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5B91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77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489" w:type="dxa"/>
            <w:shd w:val="clear" w:color="auto" w:fill="auto"/>
            <w:noWrap w:val="0"/>
            <w:vAlign w:val="center"/>
          </w:tcPr>
          <w:p w14:paraId="4424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20" w:type="dxa"/>
            <w:shd w:val="clear" w:color="FFFF00" w:fill="auto"/>
            <w:noWrap w:val="0"/>
            <w:vAlign w:val="center"/>
          </w:tcPr>
          <w:p w14:paraId="668F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腐殖酸钠</w:t>
            </w:r>
          </w:p>
        </w:tc>
        <w:tc>
          <w:tcPr>
            <w:tcW w:w="680" w:type="dxa"/>
            <w:shd w:val="clear" w:color="FFFF00" w:fill="auto"/>
            <w:noWrap w:val="0"/>
            <w:vAlign w:val="center"/>
          </w:tcPr>
          <w:p w14:paraId="6118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shd w:val="clear" w:color="FFFF00" w:fill="auto"/>
            <w:noWrap w:val="0"/>
            <w:vAlign w:val="center"/>
          </w:tcPr>
          <w:p w14:paraId="021C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shd w:val="clear" w:color="FFFF00" w:fill="auto"/>
            <w:noWrap w:val="0"/>
            <w:vAlign w:val="center"/>
          </w:tcPr>
          <w:p w14:paraId="6488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883" w:type="dxa"/>
            <w:shd w:val="clear" w:color="FFFF00" w:fill="auto"/>
            <w:noWrap w:val="0"/>
            <w:vAlign w:val="center"/>
          </w:tcPr>
          <w:p w14:paraId="02C4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符合HG/T 3278-2018；</w:t>
            </w:r>
          </w:p>
          <w:p w14:paraId="78F0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腐植酸(干基)含量≥60%</w:t>
            </w:r>
          </w:p>
        </w:tc>
        <w:tc>
          <w:tcPr>
            <w:tcW w:w="1000" w:type="dxa"/>
            <w:shd w:val="clear" w:color="FFFF00" w:fill="auto"/>
            <w:noWrap w:val="0"/>
            <w:vAlign w:val="center"/>
          </w:tcPr>
          <w:p w14:paraId="642D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1000kg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 w14:paraId="6E99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 w14:paraId="1C5A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4C92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E4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89" w:type="dxa"/>
            <w:shd w:val="clear" w:color="auto" w:fill="auto"/>
            <w:noWrap w:val="0"/>
            <w:vAlign w:val="center"/>
          </w:tcPr>
          <w:p w14:paraId="1954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20" w:type="dxa"/>
            <w:shd w:val="clear" w:color="FFFF00" w:fill="auto"/>
            <w:noWrap w:val="0"/>
            <w:vAlign w:val="center"/>
          </w:tcPr>
          <w:p w14:paraId="4BCF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聚丙烯酸钠（PAAS）</w:t>
            </w:r>
          </w:p>
        </w:tc>
        <w:tc>
          <w:tcPr>
            <w:tcW w:w="680" w:type="dxa"/>
            <w:shd w:val="clear" w:color="FFFF00" w:fill="auto"/>
            <w:noWrap w:val="0"/>
            <w:vAlign w:val="center"/>
          </w:tcPr>
          <w:p w14:paraId="0815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shd w:val="clear" w:color="FFFF00" w:fill="auto"/>
            <w:noWrap w:val="0"/>
            <w:vAlign w:val="center"/>
          </w:tcPr>
          <w:p w14:paraId="37D1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shd w:val="clear" w:color="FFFF00" w:fill="auto"/>
            <w:noWrap w:val="0"/>
            <w:vAlign w:val="center"/>
          </w:tcPr>
          <w:p w14:paraId="2E62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25kg/桶</w:t>
            </w:r>
          </w:p>
        </w:tc>
        <w:tc>
          <w:tcPr>
            <w:tcW w:w="2883" w:type="dxa"/>
            <w:shd w:val="clear" w:color="FFFF00" w:fill="auto"/>
            <w:noWrap w:val="0"/>
            <w:vAlign w:val="center"/>
          </w:tcPr>
          <w:p w14:paraId="67DC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符合HG/T 2838-2018；</w:t>
            </w:r>
          </w:p>
          <w:p w14:paraId="2D58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固体含量≥40%</w:t>
            </w:r>
          </w:p>
        </w:tc>
        <w:tc>
          <w:tcPr>
            <w:tcW w:w="1000" w:type="dxa"/>
            <w:shd w:val="clear" w:color="FFFF00" w:fill="auto"/>
            <w:noWrap w:val="0"/>
            <w:vAlign w:val="center"/>
          </w:tcPr>
          <w:p w14:paraId="162B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1000kg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 w14:paraId="763D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 w14:paraId="7512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2D21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D14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489" w:type="dxa"/>
            <w:shd w:val="clear" w:color="auto" w:fill="auto"/>
            <w:noWrap w:val="0"/>
            <w:vAlign w:val="center"/>
          </w:tcPr>
          <w:p w14:paraId="50D6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20" w:type="dxa"/>
            <w:shd w:val="clear" w:color="FFFF00" w:fill="auto"/>
            <w:noWrap w:val="0"/>
            <w:vAlign w:val="center"/>
          </w:tcPr>
          <w:p w14:paraId="3C1A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聚丙烯酸（PAAS）</w:t>
            </w:r>
          </w:p>
        </w:tc>
        <w:tc>
          <w:tcPr>
            <w:tcW w:w="680" w:type="dxa"/>
            <w:shd w:val="clear" w:color="FFFF00" w:fill="auto"/>
            <w:noWrap w:val="0"/>
            <w:vAlign w:val="center"/>
          </w:tcPr>
          <w:p w14:paraId="2576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shd w:val="clear" w:color="FFFF00" w:fill="auto"/>
            <w:noWrap w:val="0"/>
            <w:vAlign w:val="center"/>
          </w:tcPr>
          <w:p w14:paraId="3719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shd w:val="clear" w:color="FFFF00" w:fill="auto"/>
            <w:noWrap w:val="0"/>
            <w:vAlign w:val="center"/>
          </w:tcPr>
          <w:p w14:paraId="4285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883" w:type="dxa"/>
            <w:shd w:val="clear" w:color="FFFF00" w:fill="auto"/>
            <w:noWrap w:val="0"/>
            <w:vAlign w:val="center"/>
          </w:tcPr>
          <w:p w14:paraId="2E14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符合GB 29948-2013；</w:t>
            </w:r>
          </w:p>
          <w:p w14:paraId="451E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游离碱通过试验；食品级</w:t>
            </w:r>
          </w:p>
        </w:tc>
        <w:tc>
          <w:tcPr>
            <w:tcW w:w="1000" w:type="dxa"/>
            <w:shd w:val="clear" w:color="FFFF00" w:fill="auto"/>
            <w:noWrap w:val="0"/>
            <w:vAlign w:val="center"/>
          </w:tcPr>
          <w:p w14:paraId="1C08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500kg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 w14:paraId="2236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 w14:paraId="5CA2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7DE9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9F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489" w:type="dxa"/>
            <w:shd w:val="clear" w:color="auto" w:fill="auto"/>
            <w:noWrap w:val="0"/>
            <w:vAlign w:val="center"/>
          </w:tcPr>
          <w:p w14:paraId="59DA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20" w:type="dxa"/>
            <w:shd w:val="clear" w:color="FFFF00" w:fill="auto"/>
            <w:noWrap w:val="0"/>
            <w:vAlign w:val="center"/>
          </w:tcPr>
          <w:p w14:paraId="7E03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氨基三亚甲基膦（ATMP）</w:t>
            </w:r>
          </w:p>
        </w:tc>
        <w:tc>
          <w:tcPr>
            <w:tcW w:w="680" w:type="dxa"/>
            <w:shd w:val="clear" w:color="FFFF00" w:fill="auto"/>
            <w:noWrap w:val="0"/>
            <w:vAlign w:val="center"/>
          </w:tcPr>
          <w:p w14:paraId="5243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shd w:val="clear" w:color="FFFF00" w:fill="auto"/>
            <w:noWrap w:val="0"/>
            <w:vAlign w:val="center"/>
          </w:tcPr>
          <w:p w14:paraId="3B5F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shd w:val="clear" w:color="FFFF00" w:fill="auto"/>
            <w:noWrap w:val="0"/>
            <w:vAlign w:val="center"/>
          </w:tcPr>
          <w:p w14:paraId="61B5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25kg/桶</w:t>
            </w:r>
          </w:p>
        </w:tc>
        <w:tc>
          <w:tcPr>
            <w:tcW w:w="2883" w:type="dxa"/>
            <w:shd w:val="clear" w:color="FFFF00" w:fill="auto"/>
            <w:noWrap w:val="0"/>
            <w:vAlign w:val="center"/>
          </w:tcPr>
          <w:p w14:paraId="2A38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符合HG/T 2841-2005；</w:t>
            </w:r>
          </w:p>
          <w:p w14:paraId="6B12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活性组分≥50%</w:t>
            </w:r>
          </w:p>
        </w:tc>
        <w:tc>
          <w:tcPr>
            <w:tcW w:w="1000" w:type="dxa"/>
            <w:shd w:val="clear" w:color="FFFF00" w:fill="auto"/>
            <w:noWrap w:val="0"/>
            <w:vAlign w:val="center"/>
          </w:tcPr>
          <w:p w14:paraId="4D45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1000kg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 w14:paraId="54CA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 w14:paraId="6BC5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48C7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D5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489" w:type="dxa"/>
            <w:shd w:val="clear" w:color="auto" w:fill="auto"/>
            <w:noWrap w:val="0"/>
            <w:vAlign w:val="center"/>
          </w:tcPr>
          <w:p w14:paraId="5FF7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20" w:type="dxa"/>
            <w:shd w:val="clear" w:color="FFFF00" w:fill="auto"/>
            <w:noWrap w:val="0"/>
            <w:vAlign w:val="center"/>
          </w:tcPr>
          <w:p w14:paraId="7EE2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D-异抗坏血酸钠</w:t>
            </w:r>
          </w:p>
        </w:tc>
        <w:tc>
          <w:tcPr>
            <w:tcW w:w="680" w:type="dxa"/>
            <w:shd w:val="clear" w:color="FFFF00" w:fill="auto"/>
            <w:noWrap w:val="0"/>
            <w:vAlign w:val="center"/>
          </w:tcPr>
          <w:p w14:paraId="47E4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shd w:val="clear" w:color="FFFF00" w:fill="auto"/>
            <w:noWrap w:val="0"/>
            <w:vAlign w:val="center"/>
          </w:tcPr>
          <w:p w14:paraId="375C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shd w:val="clear" w:color="FFFF00" w:fill="auto"/>
            <w:noWrap w:val="0"/>
            <w:vAlign w:val="center"/>
          </w:tcPr>
          <w:p w14:paraId="6A35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883" w:type="dxa"/>
            <w:shd w:val="clear" w:color="FFFF00" w:fill="auto"/>
            <w:noWrap w:val="0"/>
            <w:vAlign w:val="center"/>
          </w:tcPr>
          <w:p w14:paraId="7050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符合GB 1886.28-2016；</w:t>
            </w:r>
          </w:p>
          <w:p w14:paraId="54CD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含量≥98%；食品级</w:t>
            </w:r>
          </w:p>
        </w:tc>
        <w:tc>
          <w:tcPr>
            <w:tcW w:w="1000" w:type="dxa"/>
            <w:shd w:val="clear" w:color="FFFF00" w:fill="auto"/>
            <w:noWrap w:val="0"/>
            <w:vAlign w:val="center"/>
          </w:tcPr>
          <w:p w14:paraId="3AC7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500kg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 w14:paraId="7142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 w14:paraId="023C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43A3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2D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489" w:type="dxa"/>
            <w:shd w:val="clear" w:color="auto" w:fill="auto"/>
            <w:noWrap w:val="0"/>
            <w:vAlign w:val="center"/>
          </w:tcPr>
          <w:p w14:paraId="6CA9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20" w:type="dxa"/>
            <w:shd w:val="clear" w:color="FFFF00" w:fill="auto"/>
            <w:noWrap w:val="0"/>
            <w:vAlign w:val="center"/>
          </w:tcPr>
          <w:p w14:paraId="1DB1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包装桶</w:t>
            </w:r>
          </w:p>
        </w:tc>
        <w:tc>
          <w:tcPr>
            <w:tcW w:w="680" w:type="dxa"/>
            <w:shd w:val="clear" w:color="FFFF00" w:fill="auto"/>
            <w:noWrap w:val="0"/>
            <w:vAlign w:val="center"/>
          </w:tcPr>
          <w:p w14:paraId="7E9E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shd w:val="clear" w:color="FFFF00" w:fill="auto"/>
            <w:noWrap w:val="0"/>
            <w:vAlign w:val="center"/>
          </w:tcPr>
          <w:p w14:paraId="63A0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shd w:val="clear" w:color="FFFF00" w:fill="auto"/>
            <w:noWrap w:val="0"/>
            <w:vAlign w:val="center"/>
          </w:tcPr>
          <w:p w14:paraId="44B0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25L/个</w:t>
            </w:r>
          </w:p>
        </w:tc>
        <w:tc>
          <w:tcPr>
            <w:tcW w:w="2883" w:type="dxa"/>
            <w:shd w:val="clear" w:color="FFFF00" w:fill="auto"/>
            <w:noWrap w:val="0"/>
            <w:vAlign w:val="center"/>
          </w:tcPr>
          <w:p w14:paraId="518A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符合GB 4806.7-2016；堆码桶；蓝色；耐酸碱；食品级</w:t>
            </w:r>
          </w:p>
        </w:tc>
        <w:tc>
          <w:tcPr>
            <w:tcW w:w="1000" w:type="dxa"/>
            <w:shd w:val="clear" w:color="FFFF00" w:fill="auto"/>
            <w:noWrap w:val="0"/>
            <w:vAlign w:val="center"/>
          </w:tcPr>
          <w:p w14:paraId="6F66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2500个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 w14:paraId="55F5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 w14:paraId="099F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5361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E9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489" w:type="dxa"/>
            <w:shd w:val="clear" w:color="auto" w:fill="auto"/>
            <w:noWrap w:val="0"/>
            <w:vAlign w:val="center"/>
          </w:tcPr>
          <w:p w14:paraId="6554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20" w:type="dxa"/>
            <w:shd w:val="clear" w:color="FFFF00" w:fill="auto"/>
            <w:noWrap w:val="0"/>
            <w:vAlign w:val="center"/>
          </w:tcPr>
          <w:p w14:paraId="4DBF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包装桶</w:t>
            </w:r>
          </w:p>
        </w:tc>
        <w:tc>
          <w:tcPr>
            <w:tcW w:w="680" w:type="dxa"/>
            <w:shd w:val="clear" w:color="FFFF00" w:fill="auto"/>
            <w:noWrap w:val="0"/>
            <w:vAlign w:val="center"/>
          </w:tcPr>
          <w:p w14:paraId="6E38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5" w:type="dxa"/>
            <w:shd w:val="clear" w:color="FFFF00" w:fill="auto"/>
            <w:noWrap w:val="0"/>
            <w:vAlign w:val="center"/>
          </w:tcPr>
          <w:p w14:paraId="41FB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shd w:val="clear" w:color="FFFF00" w:fill="auto"/>
            <w:noWrap w:val="0"/>
            <w:vAlign w:val="center"/>
          </w:tcPr>
          <w:p w14:paraId="5F0C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25L/个</w:t>
            </w:r>
          </w:p>
        </w:tc>
        <w:tc>
          <w:tcPr>
            <w:tcW w:w="2883" w:type="dxa"/>
            <w:shd w:val="clear" w:color="FFFF00" w:fill="auto"/>
            <w:noWrap w:val="0"/>
            <w:vAlign w:val="center"/>
          </w:tcPr>
          <w:p w14:paraId="3EB9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符合GB 4806.7-2016；堆码桶；白色；耐酸碱；食品级</w:t>
            </w:r>
          </w:p>
        </w:tc>
        <w:tc>
          <w:tcPr>
            <w:tcW w:w="1000" w:type="dxa"/>
            <w:shd w:val="clear" w:color="FFFF00" w:fill="auto"/>
            <w:noWrap w:val="0"/>
            <w:vAlign w:val="center"/>
          </w:tcPr>
          <w:p w14:paraId="6D61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1200个</w:t>
            </w:r>
          </w:p>
        </w:tc>
        <w:tc>
          <w:tcPr>
            <w:tcW w:w="750" w:type="dxa"/>
            <w:shd w:val="clear" w:color="FFFF00" w:fill="auto"/>
            <w:noWrap w:val="0"/>
            <w:vAlign w:val="center"/>
          </w:tcPr>
          <w:p w14:paraId="08D2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 w14:paraId="59AF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0DC5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23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489" w:type="dxa"/>
            <w:shd w:val="clear" w:color="auto" w:fill="auto"/>
            <w:noWrap w:val="0"/>
            <w:vAlign w:val="center"/>
          </w:tcPr>
          <w:p w14:paraId="3D17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412" w:type="dxa"/>
            <w:gridSpan w:val="7"/>
            <w:shd w:val="clear" w:color="auto" w:fill="auto"/>
            <w:noWrap w:val="0"/>
            <w:vAlign w:val="center"/>
          </w:tcPr>
          <w:p w14:paraId="685B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941" w:type="dxa"/>
            <w:noWrap w:val="0"/>
            <w:vAlign w:val="center"/>
          </w:tcPr>
          <w:p w14:paraId="764E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434" w:type="dxa"/>
            <w:noWrap w:val="0"/>
            <w:vAlign w:val="center"/>
          </w:tcPr>
          <w:p w14:paraId="6C99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</w:tr>
    </w:tbl>
    <w:p w14:paraId="40CC0B1A">
      <w:pPr>
        <w:widowControl/>
        <w:spacing w:line="360" w:lineRule="auto"/>
        <w:ind w:firstLine="240" w:firstLineChars="100"/>
        <w:jc w:val="left"/>
        <w:rPr>
          <w:rFonts w:hint="default" w:ascii="宋体" w:hAnsi="宋体" w:cs="宋体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请完整填写品牌、生产厂家、单价和总价，若有特殊说明填写在备注列，</w:t>
      </w:r>
      <w:r>
        <w:rPr>
          <w:rFonts w:hint="eastAsia" w:ascii="宋体" w:hAnsi="宋体" w:cs="宋体"/>
          <w:kern w:val="0"/>
          <w:sz w:val="24"/>
          <w:szCs w:val="24"/>
        </w:rPr>
        <w:t>以上报价包含计量费、运输费、开票税费等相关费用。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货物名称可与招标方提供的名称不完全一致，但必须与后续的合同和发票一致。</w:t>
      </w:r>
    </w:p>
    <w:p w14:paraId="5764B687">
      <w:pPr>
        <w:widowControl/>
        <w:spacing w:line="360" w:lineRule="auto"/>
        <w:ind w:firstLine="240" w:firstLineChars="1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报价单位（盖章）：</w:t>
      </w:r>
    </w:p>
    <w:p w14:paraId="2147C9CD">
      <w:pPr>
        <w:widowControl/>
        <w:spacing w:line="360" w:lineRule="auto"/>
        <w:ind w:firstLine="240" w:firstLineChars="1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单位地址：</w:t>
      </w:r>
    </w:p>
    <w:p w14:paraId="01F08DB5">
      <w:pPr>
        <w:widowControl/>
        <w:spacing w:line="360" w:lineRule="auto"/>
        <w:ind w:firstLine="240" w:firstLineChars="1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</w:p>
    <w:p w14:paraId="5F99547F">
      <w:pPr>
        <w:widowControl/>
        <w:spacing w:line="360" w:lineRule="auto"/>
        <w:ind w:firstLine="240" w:firstLineChars="1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联系电话：</w:t>
      </w:r>
    </w:p>
    <w:p w14:paraId="0264B088">
      <w:pPr>
        <w:widowControl/>
        <w:spacing w:line="360" w:lineRule="auto"/>
        <w:ind w:firstLine="240" w:firstLineChars="10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日期：</w:t>
      </w:r>
    </w:p>
    <w:sectPr>
      <w:pgSz w:w="11906" w:h="16838"/>
      <w:pgMar w:top="720" w:right="720" w:bottom="72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OThhYmNiYWVhOTE2YTJkMGMyMjI1ZDZhNWM2ZTgifQ=="/>
  </w:docVars>
  <w:rsids>
    <w:rsidRoot w:val="3453583F"/>
    <w:rsid w:val="02E63070"/>
    <w:rsid w:val="05EA06E6"/>
    <w:rsid w:val="10C8583B"/>
    <w:rsid w:val="1C98082F"/>
    <w:rsid w:val="223A2F9F"/>
    <w:rsid w:val="23EB3B50"/>
    <w:rsid w:val="26972156"/>
    <w:rsid w:val="2B275DB5"/>
    <w:rsid w:val="2D4439BA"/>
    <w:rsid w:val="2F267DFB"/>
    <w:rsid w:val="30081893"/>
    <w:rsid w:val="32DF6F75"/>
    <w:rsid w:val="335E60EC"/>
    <w:rsid w:val="3453583F"/>
    <w:rsid w:val="37A6666F"/>
    <w:rsid w:val="3A730FDB"/>
    <w:rsid w:val="3B5A4DC9"/>
    <w:rsid w:val="3BC74A4B"/>
    <w:rsid w:val="3F210C98"/>
    <w:rsid w:val="41323B3A"/>
    <w:rsid w:val="46C27DE7"/>
    <w:rsid w:val="4D327F63"/>
    <w:rsid w:val="51DD247A"/>
    <w:rsid w:val="55E42029"/>
    <w:rsid w:val="55FD133D"/>
    <w:rsid w:val="59A135FE"/>
    <w:rsid w:val="5D8A0BFD"/>
    <w:rsid w:val="602045A6"/>
    <w:rsid w:val="73BB0112"/>
    <w:rsid w:val="7951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3"/>
    <w:basedOn w:val="2"/>
    <w:autoRedefine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13">
    <w:name w:val="font71"/>
    <w:basedOn w:val="5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850</Characters>
  <Lines>0</Lines>
  <Paragraphs>0</Paragraphs>
  <TotalTime>9</TotalTime>
  <ScaleCrop>false</ScaleCrop>
  <LinksUpToDate>false</LinksUpToDate>
  <CharactersWithSpaces>904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2024-03-28T04:43:00Z</dcterms:created>
  <dc:creator>方立瑶</dc:creator>
  <cp:lastModifiedBy>Tesla Cat</cp:lastModifiedBy>
  <dcterms:modified xsi:type="dcterms:W3CDTF">2025-05-20T06:42:49Z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B05E0B784B4E4A7AAA70FBAC479C6887</vt:lpwstr>
  </property>
  <property fmtid="{D5CDD505-2E9C-101B-9397-08002B2CF9AE}" pid="4" name="KSOTemplateDocerSaveRecord">
    <vt:lpwstr>eyJoZGlkIjoiMWIyOThhYmNiYWVhOTE2YTJkMGMyMjI1ZDZhNWM2ZTgiLCJ1c2VySWQiOiIyMjM5MTc1NjgifQ==</vt:lpwstr>
  </property>
</Properties>
</file>