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150" w:afterAutospacing="0"/>
        <w:jc w:val="left"/>
        <w:outlineLvl w:val="1"/>
        <w:rPr>
          <w:rStyle w:val="8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</w:t>
      </w:r>
      <w:r>
        <w:rPr>
          <w:rStyle w:val="8"/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2025年安全生产从业人员责任险及第三者责任险采购项目报价单</w:t>
      </w:r>
    </w:p>
    <w:tbl>
      <w:tblPr>
        <w:tblStyle w:val="6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141"/>
        <w:gridCol w:w="3669"/>
        <w:gridCol w:w="709"/>
        <w:gridCol w:w="832"/>
        <w:gridCol w:w="818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14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险种名称</w:t>
            </w:r>
          </w:p>
        </w:tc>
        <w:tc>
          <w:tcPr>
            <w:tcW w:w="366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赔偿限额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83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81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13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4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安全生产从业人员责任险</w:t>
            </w:r>
          </w:p>
        </w:tc>
        <w:tc>
          <w:tcPr>
            <w:tcW w:w="366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1.从业人员身故伤残保障:每人每次事故赔偿限额不低于50万元(含50万元);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2.附加医疗保险每人赔偿限额不低于5万元(含5万元)，无免赔;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3.附加误工补助金:不低于100元/天/人(含100元/天/人，无免赔，每次最高365天，累计最高365天）；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4.累计责任限额:不低于1000万元(含1000万元);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5.每次事故责任限额:不低于500万元(含500万元)。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30人</w:t>
            </w:r>
          </w:p>
        </w:tc>
        <w:tc>
          <w:tcPr>
            <w:tcW w:w="83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该险种单价不得超过730元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4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第三者责任险</w:t>
            </w:r>
          </w:p>
        </w:tc>
        <w:tc>
          <w:tcPr>
            <w:tcW w:w="366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每人伤亡责任限额:不低于50万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(含50万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);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每人医疗费用责任限额:不低于5万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(含5万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);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每次事故人身伤亡责任限额:不低于700万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(含700万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);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每次事故财产损失责任限额:不低于700万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(含700万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);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累计责任限额:不低于700万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(含700万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)。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1份</w:t>
            </w:r>
          </w:p>
        </w:tc>
        <w:tc>
          <w:tcPr>
            <w:tcW w:w="83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该险种单价不得超过13500元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9028" w:type="dxa"/>
            <w:gridSpan w:val="7"/>
            <w:vAlign w:val="center"/>
          </w:tcPr>
          <w:p>
            <w:pPr>
              <w:pageBreakBefore w:val="0"/>
              <w:widowControl w:val="0"/>
              <w:tabs>
                <w:tab w:val="left" w:pos="35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总报价：            元（大写：             ）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_GB2312" w:hAnsi="Times New Roman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  <w:t>一、报价单位：</w:t>
      </w: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 </w:t>
      </w: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（盖章）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  <w:t>二、联系人：</w:t>
      </w: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u w:val="single"/>
          <w:lang w:eastAsia="zh-CN"/>
        </w:rPr>
        <w:t xml:space="preserve">            </w:t>
      </w: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  <w:t>联系电话：</w:t>
      </w: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u w:val="single"/>
          <w:lang w:eastAsia="zh-CN"/>
        </w:rPr>
        <w:t xml:space="preserve">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  <w:t>三、报价时间：</w:t>
      </w: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u w:val="single"/>
          <w:lang w:eastAsia="zh-CN"/>
        </w:rPr>
        <w:t xml:space="preserve">      年     月    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  <w:t>四、报价说明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  <w:t>1.报价单应完整填写单价报价、小计金额、总报价大小写、报价信息，若填写不完整的视为无效报价。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  <w:t>2.若报价单无法清晰打印在同一页面内，则每一页均应加盖公章或齐缝章。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  <w:t>3.报价为含税报价，包含人工、差旅、保险、税费等相关费用，不再另行增加。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仿宋_GB2312" w:hAnsi="Times New Roman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eastAsia="zh-CN"/>
        </w:rPr>
        <w:t>4.</w:t>
      </w:r>
      <w:r>
        <w:rPr>
          <w:rFonts w:hint="eastAsia" w:ascii="仿宋_GB2312" w:hAnsi="Times New Roman" w:eastAsia="仿宋_GB2312" w:cs="仿宋_GB2312"/>
          <w:color w:val="auto"/>
          <w:sz w:val="24"/>
          <w:szCs w:val="24"/>
          <w:highlight w:val="none"/>
          <w:lang w:val="en-US" w:eastAsia="zh-CN"/>
        </w:rPr>
        <w:t>总报价大写金额和小写金额不一致的，以大写金额为准；总报价金额与按单价汇总金额不一致的，以单价金额计算结果为准。</w:t>
      </w: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E02A2"/>
    <w:rsid w:val="10611EED"/>
    <w:rsid w:val="12FB2185"/>
    <w:rsid w:val="12FF1B33"/>
    <w:rsid w:val="19990D88"/>
    <w:rsid w:val="21E033FE"/>
    <w:rsid w:val="29C835CB"/>
    <w:rsid w:val="417837FF"/>
    <w:rsid w:val="4B3B20DE"/>
    <w:rsid w:val="4D104316"/>
    <w:rsid w:val="4D2C1FFE"/>
    <w:rsid w:val="508E7F0C"/>
    <w:rsid w:val="513F440D"/>
    <w:rsid w:val="54664DA4"/>
    <w:rsid w:val="547B1291"/>
    <w:rsid w:val="5DBF3491"/>
    <w:rsid w:val="64037574"/>
    <w:rsid w:val="6A4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360" w:lineRule="auto"/>
      <w:outlineLvl w:val="1"/>
    </w:pPr>
    <w:rPr>
      <w:rFonts w:ascii="Calibri Light" w:hAnsi="Calibri Light"/>
      <w:b/>
      <w:bCs/>
      <w:kern w:val="2"/>
      <w:sz w:val="28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652</Characters>
  <Lines>0</Lines>
  <Paragraphs>0</Paragraphs>
  <TotalTime>12</TotalTime>
  <ScaleCrop>false</ScaleCrop>
  <LinksUpToDate>false</LinksUpToDate>
  <CharactersWithSpaces>748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Lyao</cp:lastModifiedBy>
  <cp:lastPrinted>2025-08-15T09:05:00Z</cp:lastPrinted>
  <dcterms:modified xsi:type="dcterms:W3CDTF">2025-08-19T02:15:29Z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2C5A96CF4DC44AFFA895E14A16C600BA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